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DBD" w:rsidRDefault="005A4FE3" w:rsidP="005A4FE3">
      <w:pPr>
        <w:spacing w:line="360" w:lineRule="auto"/>
        <w:jc w:val="both"/>
        <w:rPr>
          <w:rFonts w:ascii="Palatino Linotype" w:hAnsi="Palatino Linotype"/>
          <w:b/>
          <w:sz w:val="24"/>
          <w:szCs w:val="24"/>
        </w:rPr>
      </w:pPr>
      <w:r w:rsidRPr="00BB0BA5">
        <w:rPr>
          <w:rFonts w:ascii="Palatino Linotype" w:hAnsi="Palatino Linotype"/>
          <w:b/>
          <w:sz w:val="24"/>
          <w:szCs w:val="24"/>
        </w:rPr>
        <w:t>OPINIÓN PARTICULAR DEL COMISIONADO JOSÉ GUADALUPE LUNA HERNÁND</w:t>
      </w:r>
      <w:r w:rsidR="00F53C9F" w:rsidRPr="00BB0BA5">
        <w:rPr>
          <w:rFonts w:ascii="Palatino Linotype" w:hAnsi="Palatino Linotype"/>
          <w:b/>
          <w:sz w:val="24"/>
          <w:szCs w:val="24"/>
        </w:rPr>
        <w:t xml:space="preserve">EZ </w:t>
      </w:r>
      <w:r w:rsidR="00AA6E56">
        <w:rPr>
          <w:rFonts w:ascii="Palatino Linotype" w:hAnsi="Palatino Linotype"/>
          <w:b/>
          <w:sz w:val="24"/>
          <w:szCs w:val="24"/>
        </w:rPr>
        <w:t xml:space="preserve">EN EL RECURSO DE </w:t>
      </w:r>
      <w:proofErr w:type="gramStart"/>
      <w:r w:rsidR="00AA6E56">
        <w:rPr>
          <w:rFonts w:ascii="Palatino Linotype" w:hAnsi="Palatino Linotype"/>
          <w:b/>
          <w:sz w:val="24"/>
          <w:szCs w:val="24"/>
        </w:rPr>
        <w:t>REVISIÓN  0</w:t>
      </w:r>
      <w:r w:rsidR="007F10EC">
        <w:rPr>
          <w:rFonts w:ascii="Palatino Linotype" w:hAnsi="Palatino Linotype"/>
          <w:b/>
          <w:sz w:val="24"/>
          <w:szCs w:val="24"/>
        </w:rPr>
        <w:t>2606</w:t>
      </w:r>
      <w:proofErr w:type="gramEnd"/>
      <w:r w:rsidR="00051DBD">
        <w:rPr>
          <w:rFonts w:ascii="Palatino Linotype" w:hAnsi="Palatino Linotype"/>
          <w:b/>
          <w:sz w:val="24"/>
          <w:szCs w:val="24"/>
        </w:rPr>
        <w:t>/INFOEM/IP/RR/2018.</w:t>
      </w:r>
    </w:p>
    <w:p w:rsidR="006746E7" w:rsidRDefault="006746E7" w:rsidP="005A4FE3">
      <w:pPr>
        <w:spacing w:line="360" w:lineRule="auto"/>
        <w:jc w:val="both"/>
        <w:rPr>
          <w:rFonts w:ascii="Palatino Linotype" w:hAnsi="Palatino Linotype"/>
          <w:b/>
          <w:sz w:val="24"/>
          <w:szCs w:val="24"/>
        </w:rPr>
      </w:pPr>
    </w:p>
    <w:p w:rsidR="00FF0DA1" w:rsidRPr="00FF0DA1" w:rsidRDefault="005A4FE3" w:rsidP="00FF0DA1">
      <w:pPr>
        <w:spacing w:line="360" w:lineRule="auto"/>
        <w:jc w:val="both"/>
        <w:rPr>
          <w:rFonts w:ascii="Palatino Linotype" w:hAnsi="Palatino Linotype"/>
          <w:sz w:val="24"/>
          <w:szCs w:val="24"/>
        </w:rPr>
      </w:pPr>
      <w:r w:rsidRPr="00BB0BA5">
        <w:rPr>
          <w:rFonts w:ascii="Palatino Linotype" w:hAnsi="Palatino Linotype"/>
          <w:b/>
          <w:sz w:val="24"/>
          <w:szCs w:val="24"/>
        </w:rPr>
        <w:t>Resumen de la opinión.</w:t>
      </w:r>
      <w:r w:rsidRPr="00BB0BA5">
        <w:rPr>
          <w:rFonts w:ascii="Palatino Linotype" w:hAnsi="Palatino Linotype"/>
          <w:sz w:val="24"/>
          <w:szCs w:val="24"/>
        </w:rPr>
        <w:t xml:space="preserve"> </w:t>
      </w:r>
      <w:r w:rsidR="00402CB6">
        <w:rPr>
          <w:rFonts w:ascii="Palatino Linotype" w:hAnsi="Palatino Linotype"/>
          <w:sz w:val="24"/>
          <w:szCs w:val="24"/>
        </w:rPr>
        <w:t>El acuerdo de inexistencia es el documento donde se plasman las razones o motivos por los cuales la información que debería de existir, no se encuentra dentro de los archivos del Sujeto Obligado, en otras palabras, es la alta responsabilidad de explicarle a la ciudadanía que la información que solicitó no se generó por negligencia, robo, extravío o cualquier otra circunstancia, en consecuencia, se debe dar vista a los órganos de control interno para que de ser el caso se inicie el procedimiento de responsabilidad correspondiente a la o las personas que resulten responsables por la inexistencia de la información.</w:t>
      </w:r>
    </w:p>
    <w:p w:rsidR="00FF0DA1" w:rsidRDefault="00FF0DA1" w:rsidP="005A4FE3">
      <w:pPr>
        <w:spacing w:line="360" w:lineRule="auto"/>
        <w:jc w:val="both"/>
        <w:rPr>
          <w:rFonts w:ascii="Palatino Linotype" w:hAnsi="Palatino Linotype"/>
          <w:sz w:val="24"/>
          <w:szCs w:val="24"/>
        </w:rPr>
      </w:pPr>
    </w:p>
    <w:p w:rsidR="005351E2" w:rsidRDefault="005351E2" w:rsidP="005A4FE3">
      <w:pPr>
        <w:spacing w:line="360" w:lineRule="auto"/>
        <w:jc w:val="both"/>
        <w:rPr>
          <w:rFonts w:ascii="Palatino Linotype" w:hAnsi="Palatino Linotype"/>
          <w:sz w:val="24"/>
          <w:szCs w:val="24"/>
        </w:rPr>
      </w:pPr>
    </w:p>
    <w:p w:rsidR="005351E2" w:rsidRDefault="005351E2" w:rsidP="005A4FE3">
      <w:pPr>
        <w:spacing w:line="360" w:lineRule="auto"/>
        <w:jc w:val="both"/>
        <w:rPr>
          <w:rFonts w:ascii="Palatino Linotype" w:hAnsi="Palatino Linotype"/>
          <w:sz w:val="24"/>
          <w:szCs w:val="24"/>
        </w:rPr>
      </w:pPr>
    </w:p>
    <w:p w:rsidR="005351E2" w:rsidRDefault="005351E2" w:rsidP="005A4FE3">
      <w:pPr>
        <w:spacing w:line="360" w:lineRule="auto"/>
        <w:jc w:val="both"/>
        <w:rPr>
          <w:rFonts w:ascii="Palatino Linotype" w:hAnsi="Palatino Linotype"/>
          <w:sz w:val="24"/>
          <w:szCs w:val="24"/>
        </w:rPr>
      </w:pPr>
    </w:p>
    <w:p w:rsidR="00FF0DA1" w:rsidRDefault="00FF0DA1" w:rsidP="005A4FE3">
      <w:pPr>
        <w:spacing w:line="360" w:lineRule="auto"/>
        <w:jc w:val="both"/>
        <w:rPr>
          <w:rFonts w:ascii="Palatino Linotype" w:hAnsi="Palatino Linotype"/>
          <w:sz w:val="24"/>
          <w:szCs w:val="24"/>
        </w:rPr>
      </w:pPr>
    </w:p>
    <w:p w:rsidR="00FF0DA1" w:rsidRDefault="00FF0DA1" w:rsidP="005A4FE3">
      <w:pPr>
        <w:spacing w:line="360" w:lineRule="auto"/>
        <w:jc w:val="both"/>
        <w:rPr>
          <w:rFonts w:ascii="Palatino Linotype" w:hAnsi="Palatino Linotype"/>
          <w:sz w:val="24"/>
          <w:szCs w:val="24"/>
        </w:rPr>
      </w:pPr>
    </w:p>
    <w:p w:rsidR="00FF0DA1" w:rsidRDefault="00FF0DA1" w:rsidP="005A4FE3">
      <w:pPr>
        <w:spacing w:line="360" w:lineRule="auto"/>
        <w:jc w:val="both"/>
        <w:rPr>
          <w:rFonts w:ascii="Palatino Linotype" w:hAnsi="Palatino Linotype"/>
          <w:sz w:val="24"/>
          <w:szCs w:val="24"/>
        </w:rPr>
      </w:pPr>
    </w:p>
    <w:p w:rsidR="00FF0DA1" w:rsidRDefault="00FF0DA1" w:rsidP="005A4FE3">
      <w:pPr>
        <w:spacing w:line="360" w:lineRule="auto"/>
        <w:jc w:val="both"/>
        <w:rPr>
          <w:rFonts w:ascii="Palatino Linotype" w:hAnsi="Palatino Linotype"/>
          <w:sz w:val="24"/>
          <w:szCs w:val="24"/>
        </w:rPr>
      </w:pPr>
    </w:p>
    <w:p w:rsidR="007C7C8A" w:rsidRPr="00BB0BA5" w:rsidRDefault="001305C0" w:rsidP="001305C0">
      <w:pPr>
        <w:pStyle w:val="TtulodeTDC"/>
        <w:spacing w:line="360" w:lineRule="auto"/>
        <w:rPr>
          <w:rFonts w:ascii="Palatino Linotype" w:hAnsi="Palatino Linotype" w:cs="Arial"/>
          <w:b/>
          <w:color w:val="auto"/>
          <w:sz w:val="24"/>
          <w:szCs w:val="24"/>
        </w:rPr>
      </w:pPr>
      <w:r w:rsidRPr="00BB0BA5">
        <w:rPr>
          <w:rFonts w:ascii="Palatino Linotype" w:hAnsi="Palatino Linotype" w:cs="Arial"/>
          <w:b/>
          <w:color w:val="auto"/>
          <w:sz w:val="24"/>
          <w:szCs w:val="24"/>
        </w:rPr>
        <w:lastRenderedPageBreak/>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CD6AE6" w:rsidRDefault="001305C0">
          <w:pPr>
            <w:pStyle w:val="TDC1"/>
            <w:rPr>
              <w:rFonts w:eastAsiaTheme="minorEastAsia"/>
              <w:noProof/>
              <w:lang w:eastAsia="es-MX"/>
            </w:rPr>
          </w:pPr>
          <w:r w:rsidRPr="00BB0BA5">
            <w:rPr>
              <w:rFonts w:ascii="Palatino Linotype" w:hAnsi="Palatino Linotype"/>
              <w:sz w:val="24"/>
              <w:szCs w:val="24"/>
            </w:rPr>
            <w:fldChar w:fldCharType="begin"/>
          </w:r>
          <w:r w:rsidRPr="00BB0BA5">
            <w:rPr>
              <w:rFonts w:ascii="Palatino Linotype" w:hAnsi="Palatino Linotype"/>
              <w:sz w:val="24"/>
              <w:szCs w:val="24"/>
            </w:rPr>
            <w:instrText xml:space="preserve"> TOC \o "1-3" \h \z \u </w:instrText>
          </w:r>
          <w:r w:rsidRPr="00BB0BA5">
            <w:rPr>
              <w:rFonts w:ascii="Palatino Linotype" w:hAnsi="Palatino Linotype"/>
              <w:sz w:val="24"/>
              <w:szCs w:val="24"/>
            </w:rPr>
            <w:fldChar w:fldCharType="separate"/>
          </w:r>
          <w:hyperlink w:anchor="_Toc523487407" w:history="1">
            <w:r w:rsidR="00CD6AE6" w:rsidRPr="008A36BC">
              <w:rPr>
                <w:rStyle w:val="Hipervnculo"/>
                <w:rFonts w:ascii="Palatino Linotype" w:hAnsi="Palatino Linotype"/>
                <w:b/>
                <w:noProof/>
              </w:rPr>
              <w:t>I.</w:t>
            </w:r>
            <w:r w:rsidR="00CD6AE6">
              <w:rPr>
                <w:rFonts w:eastAsiaTheme="minorEastAsia"/>
                <w:noProof/>
                <w:lang w:eastAsia="es-MX"/>
              </w:rPr>
              <w:tab/>
            </w:r>
            <w:r w:rsidR="00CD6AE6" w:rsidRPr="008A36BC">
              <w:rPr>
                <w:rStyle w:val="Hipervnculo"/>
                <w:rFonts w:ascii="Palatino Linotype" w:hAnsi="Palatino Linotype"/>
                <w:b/>
                <w:noProof/>
              </w:rPr>
              <w:t>Consideraciones Generales</w:t>
            </w:r>
            <w:r w:rsidR="00CD6AE6">
              <w:rPr>
                <w:noProof/>
                <w:webHidden/>
              </w:rPr>
              <w:tab/>
            </w:r>
            <w:r w:rsidR="00CD6AE6">
              <w:rPr>
                <w:noProof/>
                <w:webHidden/>
              </w:rPr>
              <w:fldChar w:fldCharType="begin"/>
            </w:r>
            <w:r w:rsidR="00CD6AE6">
              <w:rPr>
                <w:noProof/>
                <w:webHidden/>
              </w:rPr>
              <w:instrText xml:space="preserve"> PAGEREF _Toc523487407 \h </w:instrText>
            </w:r>
            <w:r w:rsidR="00CD6AE6">
              <w:rPr>
                <w:noProof/>
                <w:webHidden/>
              </w:rPr>
            </w:r>
            <w:r w:rsidR="00CD6AE6">
              <w:rPr>
                <w:noProof/>
                <w:webHidden/>
              </w:rPr>
              <w:fldChar w:fldCharType="separate"/>
            </w:r>
            <w:r w:rsidR="00283F41">
              <w:rPr>
                <w:noProof/>
                <w:webHidden/>
              </w:rPr>
              <w:t>2</w:t>
            </w:r>
            <w:r w:rsidR="00CD6AE6">
              <w:rPr>
                <w:noProof/>
                <w:webHidden/>
              </w:rPr>
              <w:fldChar w:fldCharType="end"/>
            </w:r>
          </w:hyperlink>
        </w:p>
        <w:p w:rsidR="00CD6AE6" w:rsidRDefault="007824B5">
          <w:pPr>
            <w:pStyle w:val="TDC1"/>
            <w:rPr>
              <w:rFonts w:eastAsiaTheme="minorEastAsia"/>
              <w:noProof/>
              <w:lang w:eastAsia="es-MX"/>
            </w:rPr>
          </w:pPr>
          <w:hyperlink w:anchor="_Toc523487408" w:history="1">
            <w:r w:rsidR="00CD6AE6" w:rsidRPr="008A36BC">
              <w:rPr>
                <w:rStyle w:val="Hipervnculo"/>
                <w:rFonts w:ascii="Palatino Linotype" w:hAnsi="Palatino Linotype"/>
                <w:b/>
                <w:noProof/>
              </w:rPr>
              <w:t>II.</w:t>
            </w:r>
            <w:r w:rsidR="00CD6AE6">
              <w:rPr>
                <w:rFonts w:eastAsiaTheme="minorEastAsia"/>
                <w:noProof/>
                <w:lang w:eastAsia="es-MX"/>
              </w:rPr>
              <w:tab/>
            </w:r>
            <w:r w:rsidR="00CD6AE6" w:rsidRPr="008A36BC">
              <w:rPr>
                <w:rStyle w:val="Hipervnculo"/>
                <w:rFonts w:ascii="Palatino Linotype" w:hAnsi="Palatino Linotype"/>
                <w:b/>
                <w:noProof/>
              </w:rPr>
              <w:t>De los requerimientos planteados.</w:t>
            </w:r>
            <w:r w:rsidR="00CD6AE6">
              <w:rPr>
                <w:noProof/>
                <w:webHidden/>
              </w:rPr>
              <w:tab/>
            </w:r>
            <w:r w:rsidR="00CD6AE6">
              <w:rPr>
                <w:noProof/>
                <w:webHidden/>
              </w:rPr>
              <w:fldChar w:fldCharType="begin"/>
            </w:r>
            <w:r w:rsidR="00CD6AE6">
              <w:rPr>
                <w:noProof/>
                <w:webHidden/>
              </w:rPr>
              <w:instrText xml:space="preserve"> PAGEREF _Toc523487408 \h </w:instrText>
            </w:r>
            <w:r w:rsidR="00CD6AE6">
              <w:rPr>
                <w:noProof/>
                <w:webHidden/>
              </w:rPr>
            </w:r>
            <w:r w:rsidR="00CD6AE6">
              <w:rPr>
                <w:noProof/>
                <w:webHidden/>
              </w:rPr>
              <w:fldChar w:fldCharType="separate"/>
            </w:r>
            <w:r w:rsidR="00283F41">
              <w:rPr>
                <w:noProof/>
                <w:webHidden/>
              </w:rPr>
              <w:t>3</w:t>
            </w:r>
            <w:r w:rsidR="00CD6AE6">
              <w:rPr>
                <w:noProof/>
                <w:webHidden/>
              </w:rPr>
              <w:fldChar w:fldCharType="end"/>
            </w:r>
          </w:hyperlink>
        </w:p>
        <w:p w:rsidR="00CD6AE6" w:rsidRDefault="007824B5">
          <w:pPr>
            <w:pStyle w:val="TDC1"/>
            <w:rPr>
              <w:rFonts w:eastAsiaTheme="minorEastAsia"/>
              <w:noProof/>
              <w:lang w:eastAsia="es-MX"/>
            </w:rPr>
          </w:pPr>
          <w:hyperlink w:anchor="_Toc523487409" w:history="1">
            <w:r w:rsidR="00CD6AE6" w:rsidRPr="008A36BC">
              <w:rPr>
                <w:rStyle w:val="Hipervnculo"/>
                <w:rFonts w:ascii="Palatino Linotype" w:hAnsi="Palatino Linotype"/>
                <w:b/>
                <w:noProof/>
              </w:rPr>
              <w:t>III.</w:t>
            </w:r>
            <w:r w:rsidR="00CD6AE6">
              <w:rPr>
                <w:rFonts w:eastAsiaTheme="minorEastAsia"/>
                <w:noProof/>
                <w:lang w:eastAsia="es-MX"/>
              </w:rPr>
              <w:tab/>
            </w:r>
            <w:r w:rsidR="00CD6AE6" w:rsidRPr="008A36BC">
              <w:rPr>
                <w:rStyle w:val="Hipervnculo"/>
                <w:rFonts w:ascii="Palatino Linotype" w:hAnsi="Palatino Linotype"/>
                <w:b/>
                <w:noProof/>
              </w:rPr>
              <w:t>De la Inexistencia de la información.</w:t>
            </w:r>
            <w:r w:rsidR="00CD6AE6">
              <w:rPr>
                <w:noProof/>
                <w:webHidden/>
              </w:rPr>
              <w:tab/>
            </w:r>
            <w:r w:rsidR="00CD6AE6">
              <w:rPr>
                <w:noProof/>
                <w:webHidden/>
              </w:rPr>
              <w:fldChar w:fldCharType="begin"/>
            </w:r>
            <w:r w:rsidR="00CD6AE6">
              <w:rPr>
                <w:noProof/>
                <w:webHidden/>
              </w:rPr>
              <w:instrText xml:space="preserve"> PAGEREF _Toc523487409 \h </w:instrText>
            </w:r>
            <w:r w:rsidR="00CD6AE6">
              <w:rPr>
                <w:noProof/>
                <w:webHidden/>
              </w:rPr>
            </w:r>
            <w:r w:rsidR="00CD6AE6">
              <w:rPr>
                <w:noProof/>
                <w:webHidden/>
              </w:rPr>
              <w:fldChar w:fldCharType="separate"/>
            </w:r>
            <w:r w:rsidR="00283F41">
              <w:rPr>
                <w:noProof/>
                <w:webHidden/>
              </w:rPr>
              <w:t>5</w:t>
            </w:r>
            <w:r w:rsidR="00CD6AE6">
              <w:rPr>
                <w:noProof/>
                <w:webHidden/>
              </w:rPr>
              <w:fldChar w:fldCharType="end"/>
            </w:r>
          </w:hyperlink>
        </w:p>
        <w:p w:rsidR="00CD6AE6" w:rsidRDefault="007824B5">
          <w:pPr>
            <w:pStyle w:val="TDC1"/>
            <w:rPr>
              <w:rFonts w:eastAsiaTheme="minorEastAsia"/>
              <w:noProof/>
              <w:lang w:eastAsia="es-MX"/>
            </w:rPr>
          </w:pPr>
          <w:hyperlink w:anchor="_Toc523487410" w:history="1">
            <w:r w:rsidR="00CD6AE6" w:rsidRPr="008A36BC">
              <w:rPr>
                <w:rStyle w:val="Hipervnculo"/>
                <w:rFonts w:ascii="Palatino Linotype" w:hAnsi="Palatino Linotype"/>
                <w:b/>
                <w:noProof/>
              </w:rPr>
              <w:t>IV.</w:t>
            </w:r>
            <w:r w:rsidR="00CD6AE6">
              <w:rPr>
                <w:rFonts w:eastAsiaTheme="minorEastAsia"/>
                <w:noProof/>
                <w:lang w:eastAsia="es-MX"/>
              </w:rPr>
              <w:tab/>
            </w:r>
            <w:r w:rsidR="00CD6AE6" w:rsidRPr="008A36BC">
              <w:rPr>
                <w:rStyle w:val="Hipervnculo"/>
                <w:rFonts w:ascii="Palatino Linotype" w:hAnsi="Palatino Linotype"/>
                <w:b/>
                <w:noProof/>
              </w:rPr>
              <w:t>Conclusión</w:t>
            </w:r>
            <w:r w:rsidR="00CD6AE6">
              <w:rPr>
                <w:noProof/>
                <w:webHidden/>
              </w:rPr>
              <w:tab/>
            </w:r>
            <w:r w:rsidR="00CD6AE6">
              <w:rPr>
                <w:noProof/>
                <w:webHidden/>
              </w:rPr>
              <w:fldChar w:fldCharType="begin"/>
            </w:r>
            <w:r w:rsidR="00CD6AE6">
              <w:rPr>
                <w:noProof/>
                <w:webHidden/>
              </w:rPr>
              <w:instrText xml:space="preserve"> PAGEREF _Toc523487410 \h </w:instrText>
            </w:r>
            <w:r w:rsidR="00CD6AE6">
              <w:rPr>
                <w:noProof/>
                <w:webHidden/>
              </w:rPr>
            </w:r>
            <w:r w:rsidR="00CD6AE6">
              <w:rPr>
                <w:noProof/>
                <w:webHidden/>
              </w:rPr>
              <w:fldChar w:fldCharType="separate"/>
            </w:r>
            <w:r w:rsidR="00283F41">
              <w:rPr>
                <w:noProof/>
                <w:webHidden/>
              </w:rPr>
              <w:t>14</w:t>
            </w:r>
            <w:r w:rsidR="00CD6AE6">
              <w:rPr>
                <w:noProof/>
                <w:webHidden/>
              </w:rPr>
              <w:fldChar w:fldCharType="end"/>
            </w:r>
          </w:hyperlink>
        </w:p>
        <w:p w:rsidR="001305C0" w:rsidRPr="00BB0BA5" w:rsidRDefault="001305C0" w:rsidP="001305C0">
          <w:pPr>
            <w:spacing w:line="360" w:lineRule="auto"/>
            <w:rPr>
              <w:rFonts w:ascii="Palatino Linotype" w:hAnsi="Palatino Linotype"/>
              <w:sz w:val="24"/>
              <w:szCs w:val="24"/>
            </w:rPr>
          </w:pPr>
          <w:r w:rsidRPr="00BB0BA5">
            <w:rPr>
              <w:rFonts w:ascii="Palatino Linotype" w:hAnsi="Palatino Linotype"/>
              <w:b/>
              <w:bCs/>
              <w:sz w:val="24"/>
              <w:szCs w:val="24"/>
              <w:lang w:val="es-ES"/>
            </w:rPr>
            <w:fldChar w:fldCharType="end"/>
          </w:r>
        </w:p>
      </w:sdtContent>
    </w:sdt>
    <w:p w:rsidR="00114ED3" w:rsidRDefault="00114ED3" w:rsidP="00114ED3"/>
    <w:p w:rsidR="001560A1" w:rsidRDefault="001560A1" w:rsidP="00114ED3"/>
    <w:p w:rsidR="001560A1" w:rsidRDefault="001560A1" w:rsidP="00114ED3"/>
    <w:p w:rsidR="001560A1" w:rsidRDefault="001560A1" w:rsidP="00114ED3"/>
    <w:p w:rsidR="001560A1" w:rsidRDefault="001560A1" w:rsidP="00114ED3"/>
    <w:p w:rsidR="00FF0DA1" w:rsidRDefault="00FF0DA1" w:rsidP="00114ED3"/>
    <w:p w:rsidR="00B35DFF" w:rsidRPr="00BB0BA5" w:rsidRDefault="00B35DFF" w:rsidP="00340794">
      <w:pPr>
        <w:pStyle w:val="Ttulo1"/>
        <w:numPr>
          <w:ilvl w:val="0"/>
          <w:numId w:val="18"/>
        </w:numPr>
        <w:rPr>
          <w:rFonts w:ascii="Palatino Linotype" w:hAnsi="Palatino Linotype"/>
          <w:b/>
          <w:color w:val="auto"/>
          <w:sz w:val="24"/>
        </w:rPr>
      </w:pPr>
      <w:bookmarkStart w:id="0" w:name="_Toc523487407"/>
      <w:r w:rsidRPr="00BB0BA5">
        <w:rPr>
          <w:rFonts w:ascii="Palatino Linotype" w:hAnsi="Palatino Linotype"/>
          <w:b/>
          <w:color w:val="auto"/>
          <w:sz w:val="24"/>
        </w:rPr>
        <w:t>Consideraciones Generales</w:t>
      </w:r>
      <w:bookmarkEnd w:id="0"/>
    </w:p>
    <w:p w:rsidR="00B35DFF" w:rsidRPr="00BB0BA5" w:rsidRDefault="00B35DFF" w:rsidP="00B35DFF">
      <w:pPr>
        <w:pStyle w:val="Prrafodelista"/>
        <w:spacing w:line="360" w:lineRule="auto"/>
        <w:ind w:left="1080"/>
        <w:jc w:val="both"/>
        <w:rPr>
          <w:rFonts w:ascii="Palatino Linotype" w:hAnsi="Palatino Linotype"/>
          <w:sz w:val="24"/>
          <w:szCs w:val="24"/>
        </w:rPr>
      </w:pPr>
    </w:p>
    <w:p w:rsidR="00B35DFF" w:rsidRPr="00FF0DA1" w:rsidRDefault="00B35DFF" w:rsidP="00B35DFF">
      <w:pPr>
        <w:pStyle w:val="Prrafodelista"/>
        <w:numPr>
          <w:ilvl w:val="0"/>
          <w:numId w:val="8"/>
        </w:numPr>
        <w:spacing w:line="360" w:lineRule="auto"/>
        <w:jc w:val="both"/>
        <w:rPr>
          <w:rFonts w:ascii="Palatino Linotype" w:hAnsi="Palatino Linotype"/>
          <w:sz w:val="24"/>
          <w:szCs w:val="24"/>
        </w:rPr>
      </w:pPr>
      <w:r w:rsidRPr="00BB0BA5">
        <w:rPr>
          <w:rFonts w:ascii="Palatino Linotype" w:hAnsi="Palatino Linotype"/>
          <w:sz w:val="24"/>
          <w:szCs w:val="24"/>
        </w:rPr>
        <w:t>He concurrido con mi opinión particular de la presente resolución emitida por el Pleno del Instituto de Transparencia, Acceso a la Información Pública y Protección de Datos Personales del Estado</w:t>
      </w:r>
      <w:r w:rsidR="00312935">
        <w:rPr>
          <w:rFonts w:ascii="Palatino Linotype" w:hAnsi="Palatino Linotype"/>
          <w:sz w:val="24"/>
          <w:szCs w:val="24"/>
        </w:rPr>
        <w:t xml:space="preserve"> de México y Municipios, en su </w:t>
      </w:r>
      <w:r w:rsidR="007F10EC">
        <w:rPr>
          <w:rFonts w:ascii="Palatino Linotype" w:hAnsi="Palatino Linotype"/>
          <w:sz w:val="24"/>
          <w:szCs w:val="24"/>
        </w:rPr>
        <w:t>Trigésima Primera</w:t>
      </w:r>
      <w:r w:rsidR="006746E7">
        <w:rPr>
          <w:rFonts w:ascii="Palatino Linotype" w:hAnsi="Palatino Linotype"/>
          <w:sz w:val="24"/>
          <w:szCs w:val="24"/>
        </w:rPr>
        <w:t xml:space="preserve"> S</w:t>
      </w:r>
      <w:r w:rsidRPr="00BB0BA5">
        <w:rPr>
          <w:rFonts w:ascii="Palatino Linotype" w:hAnsi="Palatino Linotype"/>
          <w:sz w:val="24"/>
          <w:szCs w:val="24"/>
        </w:rPr>
        <w:t xml:space="preserve">esión Ordinaria celebrada en fecha </w:t>
      </w:r>
      <w:r w:rsidR="007F10EC">
        <w:rPr>
          <w:rFonts w:ascii="Palatino Linotype" w:hAnsi="Palatino Linotype"/>
          <w:sz w:val="24"/>
          <w:szCs w:val="24"/>
        </w:rPr>
        <w:t>veintinueve</w:t>
      </w:r>
      <w:r w:rsidRPr="00BB0BA5">
        <w:rPr>
          <w:rFonts w:ascii="Palatino Linotype" w:hAnsi="Palatino Linotype"/>
          <w:sz w:val="24"/>
          <w:szCs w:val="24"/>
        </w:rPr>
        <w:t xml:space="preserve"> (</w:t>
      </w:r>
      <w:r w:rsidR="006746E7">
        <w:rPr>
          <w:rFonts w:ascii="Palatino Linotype" w:hAnsi="Palatino Linotype"/>
          <w:sz w:val="24"/>
          <w:szCs w:val="24"/>
        </w:rPr>
        <w:t>06</w:t>
      </w:r>
      <w:r w:rsidRPr="00BB0BA5">
        <w:rPr>
          <w:rFonts w:ascii="Palatino Linotype" w:hAnsi="Palatino Linotype"/>
          <w:sz w:val="24"/>
          <w:szCs w:val="24"/>
        </w:rPr>
        <w:t xml:space="preserve">) de </w:t>
      </w:r>
      <w:r w:rsidR="006746E7">
        <w:rPr>
          <w:rFonts w:ascii="Palatino Linotype" w:hAnsi="Palatino Linotype"/>
          <w:sz w:val="24"/>
          <w:szCs w:val="24"/>
        </w:rPr>
        <w:t>junio</w:t>
      </w:r>
      <w:r w:rsidR="00051DBD">
        <w:rPr>
          <w:rFonts w:ascii="Palatino Linotype" w:hAnsi="Palatino Linotype"/>
          <w:sz w:val="24"/>
          <w:szCs w:val="24"/>
        </w:rPr>
        <w:t xml:space="preserve"> de dos mil dieciocho</w:t>
      </w:r>
      <w:r w:rsidRPr="00BB0BA5">
        <w:rPr>
          <w:rFonts w:ascii="Palatino Linotype" w:hAnsi="Palatino Linotype"/>
          <w:sz w:val="24"/>
          <w:szCs w:val="24"/>
        </w:rPr>
        <w:t xml:space="preserve"> promovido por </w:t>
      </w:r>
      <w:r w:rsidR="001B42E8">
        <w:rPr>
          <w:rFonts w:ascii="Palatino Linotype" w:hAnsi="Palatino Linotype" w:cs="Arial"/>
          <w:b/>
          <w:bCs/>
          <w:sz w:val="24"/>
        </w:rPr>
        <w:t>**** **** ****</w:t>
      </w:r>
      <w:bookmarkStart w:id="1" w:name="_GoBack"/>
      <w:bookmarkEnd w:id="1"/>
      <w:r w:rsidR="001560A1" w:rsidRPr="001560A1">
        <w:rPr>
          <w:rFonts w:ascii="Palatino Linotype" w:hAnsi="Palatino Linotype"/>
          <w:sz w:val="28"/>
          <w:szCs w:val="24"/>
        </w:rPr>
        <w:t xml:space="preserve"> </w:t>
      </w:r>
      <w:r w:rsidR="007E4DC7">
        <w:rPr>
          <w:rFonts w:ascii="Palatino Linotype" w:hAnsi="Palatino Linotype"/>
          <w:sz w:val="24"/>
          <w:szCs w:val="24"/>
        </w:rPr>
        <w:t>en contra de la respuesta de</w:t>
      </w:r>
      <w:r w:rsidRPr="00BB0BA5">
        <w:rPr>
          <w:rFonts w:ascii="Palatino Linotype" w:hAnsi="Palatino Linotype"/>
          <w:sz w:val="24"/>
          <w:szCs w:val="24"/>
        </w:rPr>
        <w:t xml:space="preserve">l </w:t>
      </w:r>
      <w:r w:rsidR="007F10EC">
        <w:rPr>
          <w:rFonts w:ascii="Palatino Linotype" w:hAnsi="Palatino Linotype"/>
          <w:b/>
          <w:sz w:val="24"/>
          <w:szCs w:val="24"/>
        </w:rPr>
        <w:t>Consejo Estatal de la Mujer y Bienestar social</w:t>
      </w:r>
      <w:r w:rsidR="007E4DC7">
        <w:rPr>
          <w:rFonts w:ascii="Palatino Linotype" w:hAnsi="Palatino Linotype"/>
          <w:b/>
          <w:sz w:val="24"/>
          <w:szCs w:val="24"/>
        </w:rPr>
        <w:t xml:space="preserve"> </w:t>
      </w:r>
      <w:r w:rsidRPr="00BB0BA5">
        <w:rPr>
          <w:rFonts w:ascii="Palatino Linotype" w:hAnsi="Palatino Linotype"/>
          <w:sz w:val="24"/>
          <w:szCs w:val="24"/>
        </w:rPr>
        <w:t xml:space="preserve">procedimiento al que se le asignó el número de expediente </w:t>
      </w:r>
      <w:r w:rsidR="007F10EC">
        <w:rPr>
          <w:rFonts w:ascii="Palatino Linotype" w:hAnsi="Palatino Linotype"/>
          <w:b/>
          <w:sz w:val="24"/>
          <w:szCs w:val="24"/>
        </w:rPr>
        <w:t>02606</w:t>
      </w:r>
      <w:r w:rsidR="00782770">
        <w:rPr>
          <w:rFonts w:ascii="Palatino Linotype" w:hAnsi="Palatino Linotype"/>
          <w:b/>
          <w:sz w:val="24"/>
          <w:szCs w:val="24"/>
        </w:rPr>
        <w:t>/INFOEM/IP/RR/2018</w:t>
      </w:r>
      <w:r w:rsidR="0022628C">
        <w:rPr>
          <w:rFonts w:ascii="Palatino Linotype" w:hAnsi="Palatino Linotype"/>
          <w:b/>
          <w:sz w:val="24"/>
          <w:szCs w:val="24"/>
        </w:rPr>
        <w:t>.</w:t>
      </w:r>
    </w:p>
    <w:p w:rsidR="00B35DFF" w:rsidRPr="00BB0BA5" w:rsidRDefault="00B35DFF" w:rsidP="00B35DFF">
      <w:pPr>
        <w:pStyle w:val="Prrafodelista"/>
        <w:spacing w:line="360" w:lineRule="auto"/>
        <w:ind w:left="360"/>
        <w:jc w:val="both"/>
        <w:rPr>
          <w:rFonts w:ascii="Palatino Linotype" w:hAnsi="Palatino Linotype"/>
          <w:sz w:val="24"/>
          <w:szCs w:val="24"/>
        </w:rPr>
      </w:pPr>
    </w:p>
    <w:p w:rsidR="00E00B8E" w:rsidRPr="00E00B8E" w:rsidRDefault="00B35DFF" w:rsidP="00E00B8E">
      <w:pPr>
        <w:pStyle w:val="Prrafodelista"/>
        <w:numPr>
          <w:ilvl w:val="0"/>
          <w:numId w:val="8"/>
        </w:numPr>
        <w:spacing w:line="360" w:lineRule="auto"/>
        <w:jc w:val="both"/>
        <w:rPr>
          <w:rFonts w:ascii="Palatino Linotype" w:hAnsi="Palatino Linotype" w:cs="Arial"/>
          <w:i/>
        </w:rPr>
      </w:pPr>
      <w:r w:rsidRPr="00835513">
        <w:rPr>
          <w:rFonts w:ascii="Palatino Linotype" w:hAnsi="Palatino Linotype"/>
          <w:sz w:val="24"/>
          <w:szCs w:val="24"/>
        </w:rPr>
        <w:lastRenderedPageBreak/>
        <w:t>La re</w:t>
      </w:r>
      <w:r w:rsidR="00782770">
        <w:rPr>
          <w:rFonts w:ascii="Palatino Linotype" w:hAnsi="Palatino Linotype"/>
          <w:sz w:val="24"/>
          <w:szCs w:val="24"/>
        </w:rPr>
        <w:t xml:space="preserve">solución puntualmente determina </w:t>
      </w:r>
      <w:r w:rsidR="00E00B8E">
        <w:rPr>
          <w:rFonts w:ascii="Palatino Linotype" w:hAnsi="Palatino Linotype"/>
          <w:b/>
          <w:sz w:val="24"/>
          <w:szCs w:val="24"/>
        </w:rPr>
        <w:t>REVOCAR</w:t>
      </w:r>
      <w:r w:rsidR="00835513" w:rsidRPr="00835513">
        <w:rPr>
          <w:rFonts w:ascii="Palatino Linotype" w:hAnsi="Palatino Linotype"/>
          <w:b/>
          <w:sz w:val="24"/>
          <w:szCs w:val="24"/>
        </w:rPr>
        <w:t xml:space="preserve"> </w:t>
      </w:r>
      <w:r w:rsidR="00E00B8E" w:rsidRPr="00E00B8E">
        <w:rPr>
          <w:rFonts w:ascii="Palatino Linotype" w:hAnsi="Palatino Linotype"/>
          <w:sz w:val="24"/>
          <w:szCs w:val="24"/>
        </w:rPr>
        <w:t xml:space="preserve">la respuesta del </w:t>
      </w:r>
      <w:r w:rsidR="00E00B8E">
        <w:rPr>
          <w:rFonts w:ascii="Palatino Linotype" w:hAnsi="Palatino Linotype"/>
          <w:b/>
          <w:sz w:val="24"/>
          <w:szCs w:val="24"/>
        </w:rPr>
        <w:t xml:space="preserve">Sujeto Obligado </w:t>
      </w:r>
      <w:r w:rsidR="00E00B8E" w:rsidRPr="00E00B8E">
        <w:rPr>
          <w:rFonts w:ascii="Palatino Linotype" w:hAnsi="Palatino Linotype"/>
          <w:sz w:val="24"/>
          <w:szCs w:val="24"/>
        </w:rPr>
        <w:t>y</w:t>
      </w:r>
      <w:r w:rsidR="00E00B8E">
        <w:rPr>
          <w:rFonts w:ascii="Palatino Linotype" w:hAnsi="Palatino Linotype"/>
          <w:b/>
          <w:sz w:val="24"/>
          <w:szCs w:val="24"/>
        </w:rPr>
        <w:t xml:space="preserve"> ORDENA </w:t>
      </w:r>
      <w:r w:rsidR="00E00B8E" w:rsidRPr="00E00B8E">
        <w:rPr>
          <w:rFonts w:ascii="Palatino Linotype" w:hAnsi="Palatino Linotype"/>
          <w:sz w:val="24"/>
          <w:szCs w:val="24"/>
        </w:rPr>
        <w:t>hacer entrega de lo siguiente:</w:t>
      </w:r>
    </w:p>
    <w:p w:rsidR="00E00B8E" w:rsidRPr="00E00B8E" w:rsidRDefault="00E00B8E" w:rsidP="00E00B8E">
      <w:pPr>
        <w:pStyle w:val="Prrafodelista"/>
        <w:rPr>
          <w:rFonts w:ascii="Palatino Linotype" w:hAnsi="Palatino Linotype"/>
          <w:i/>
        </w:rPr>
      </w:pPr>
    </w:p>
    <w:p w:rsidR="00E00B8E" w:rsidRDefault="00397F3B" w:rsidP="00397F3B">
      <w:pPr>
        <w:pStyle w:val="Prrafodelista"/>
        <w:spacing w:line="360" w:lineRule="auto"/>
        <w:ind w:left="567" w:right="616"/>
        <w:jc w:val="both"/>
        <w:rPr>
          <w:rFonts w:ascii="Palatino Linotype" w:hAnsi="Palatino Linotype"/>
          <w:b/>
          <w:i/>
        </w:rPr>
      </w:pPr>
      <w:r>
        <w:rPr>
          <w:rFonts w:ascii="Palatino Linotype" w:hAnsi="Palatino Linotype"/>
          <w:i/>
        </w:rPr>
        <w:t>“</w:t>
      </w:r>
      <w:r w:rsidRPr="0079346C">
        <w:rPr>
          <w:rFonts w:ascii="Palatino Linotype" w:hAnsi="Palatino Linotype"/>
          <w:i/>
        </w:rPr>
        <w:t xml:space="preserve">El Acuerdo de </w:t>
      </w:r>
      <w:r w:rsidRPr="0079346C">
        <w:rPr>
          <w:rFonts w:ascii="Palatino Linotype" w:hAnsi="Palatino Linotype"/>
          <w:bCs/>
          <w:i/>
        </w:rPr>
        <w:t>Inexistencia</w:t>
      </w:r>
      <w:r w:rsidRPr="0079346C">
        <w:rPr>
          <w:rFonts w:ascii="Palatino Linotype" w:hAnsi="Palatino Linotype"/>
          <w:i/>
        </w:rPr>
        <w:t xml:space="preserve"> que apruebe el Comité de Transparencia debidamente fundado y motivado, en el que se expliquen las razones por las cuales no cuenta en sus archivos con los diagnósticos sobre las causas, la frecuencia y las consecuencias de la violencia contra las mujeres, referidos en el Programa Integral para la Igualdad de Trato y Oportunidades entre Mujeres y Hombres y para Prevenir, Atender, Sancionar y Erradicar la Violencia contra las Mujeres</w:t>
      </w:r>
      <w:r w:rsidRPr="0079346C">
        <w:rPr>
          <w:rFonts w:ascii="Palatino Linotype" w:hAnsi="Palatino Linotype" w:cs="Arial"/>
          <w:i/>
          <w:lang w:eastAsia="es-MX"/>
        </w:rPr>
        <w:t>,</w:t>
      </w:r>
      <w:r>
        <w:rPr>
          <w:rFonts w:ascii="Palatino Linotype" w:hAnsi="Palatino Linotype"/>
          <w:i/>
        </w:rPr>
        <w:t xml:space="preserve"> del periodo 2011-2017”</w:t>
      </w:r>
    </w:p>
    <w:p w:rsidR="00397F3B" w:rsidRPr="00E00B8E" w:rsidRDefault="00397F3B" w:rsidP="00E00B8E">
      <w:pPr>
        <w:pStyle w:val="Prrafodelista"/>
        <w:spacing w:line="360" w:lineRule="auto"/>
        <w:ind w:left="360"/>
        <w:jc w:val="both"/>
        <w:rPr>
          <w:rFonts w:ascii="Palatino Linotype" w:hAnsi="Palatino Linotype" w:cs="Arial"/>
          <w:i/>
        </w:rPr>
      </w:pPr>
    </w:p>
    <w:p w:rsidR="00B35DFF" w:rsidRPr="00BB0BA5" w:rsidRDefault="00B35DFF" w:rsidP="00B35DFF">
      <w:pPr>
        <w:pStyle w:val="Prrafodelista"/>
        <w:numPr>
          <w:ilvl w:val="0"/>
          <w:numId w:val="8"/>
        </w:numPr>
        <w:spacing w:line="360" w:lineRule="auto"/>
        <w:jc w:val="both"/>
        <w:rPr>
          <w:rFonts w:ascii="Palatino Linotype" w:hAnsi="Palatino Linotype"/>
          <w:sz w:val="24"/>
          <w:szCs w:val="24"/>
        </w:rPr>
      </w:pPr>
      <w:r w:rsidRPr="00BB0BA5">
        <w:rPr>
          <w:rFonts w:ascii="Palatino Linotype" w:hAnsi="Palatino Linotype"/>
          <w:sz w:val="24"/>
          <w:szCs w:val="24"/>
        </w:rPr>
        <w:t>Por tal motivo y en términos de lo señalado por el artículo 14 fracción XI del Reglamento Interior del Instituto de Transparencia y Acceso a la Información Pública del Estado de México y Municipios formulo la presente opinión particular.</w:t>
      </w:r>
    </w:p>
    <w:p w:rsidR="00B35DFF" w:rsidRPr="00BB0BA5" w:rsidRDefault="00B35DFF" w:rsidP="00B35DFF">
      <w:pPr>
        <w:pStyle w:val="Prrafodelista"/>
        <w:rPr>
          <w:rFonts w:ascii="Palatino Linotype" w:hAnsi="Palatino Linotype"/>
          <w:sz w:val="24"/>
          <w:szCs w:val="24"/>
        </w:rPr>
      </w:pPr>
    </w:p>
    <w:p w:rsidR="00397F3B" w:rsidRDefault="00397F3B" w:rsidP="00340794">
      <w:pPr>
        <w:pStyle w:val="Ttulo1"/>
        <w:numPr>
          <w:ilvl w:val="0"/>
          <w:numId w:val="18"/>
        </w:numPr>
        <w:rPr>
          <w:rFonts w:ascii="Palatino Linotype" w:hAnsi="Palatino Linotype"/>
          <w:b/>
          <w:color w:val="auto"/>
          <w:sz w:val="24"/>
        </w:rPr>
      </w:pPr>
      <w:bookmarkStart w:id="2" w:name="_Toc523487408"/>
      <w:r>
        <w:rPr>
          <w:rFonts w:ascii="Palatino Linotype" w:hAnsi="Palatino Linotype"/>
          <w:b/>
          <w:color w:val="auto"/>
          <w:sz w:val="24"/>
        </w:rPr>
        <w:t>De los requerimientos planteados.</w:t>
      </w:r>
      <w:bookmarkEnd w:id="2"/>
    </w:p>
    <w:p w:rsidR="00397F3B" w:rsidRDefault="00397F3B" w:rsidP="00397F3B"/>
    <w:p w:rsidR="00397F3B" w:rsidRPr="00473A35" w:rsidRDefault="00397F3B" w:rsidP="00397F3B">
      <w:pPr>
        <w:pStyle w:val="Prrafodelista"/>
        <w:numPr>
          <w:ilvl w:val="0"/>
          <w:numId w:val="8"/>
        </w:numPr>
        <w:spacing w:line="360" w:lineRule="auto"/>
        <w:ind w:left="426" w:right="49" w:hanging="426"/>
        <w:jc w:val="both"/>
        <w:rPr>
          <w:rFonts w:ascii="Palatino Linotype" w:hAnsi="Palatino Linotype"/>
          <w:sz w:val="24"/>
        </w:rPr>
      </w:pPr>
      <w:r w:rsidRPr="00397F3B">
        <w:rPr>
          <w:rFonts w:ascii="Palatino Linotype" w:hAnsi="Palatino Linotype"/>
          <w:sz w:val="24"/>
        </w:rPr>
        <w:t xml:space="preserve">Se solicitó al Sujeto Obligado el diagnostico de San Felipe del Progreso sobre las causas </w:t>
      </w:r>
      <w:r w:rsidRPr="00397F3B">
        <w:rPr>
          <w:rFonts w:ascii="Palatino Linotype" w:hAnsi="Palatino Linotype" w:cs="Arial"/>
          <w:sz w:val="24"/>
        </w:rPr>
        <w:t>la frecuencia y las consecuencias de la violencia contra las mujeres y niñas.</w:t>
      </w:r>
    </w:p>
    <w:p w:rsidR="00473A35" w:rsidRPr="00473A35" w:rsidRDefault="00473A35" w:rsidP="00473A35">
      <w:pPr>
        <w:pStyle w:val="Prrafodelista"/>
        <w:spacing w:line="360" w:lineRule="auto"/>
        <w:ind w:left="426" w:right="49"/>
        <w:jc w:val="both"/>
        <w:rPr>
          <w:rFonts w:ascii="Palatino Linotype" w:hAnsi="Palatino Linotype"/>
          <w:sz w:val="24"/>
        </w:rPr>
      </w:pPr>
    </w:p>
    <w:p w:rsidR="001D6E94" w:rsidRPr="00473A35" w:rsidRDefault="00397F3B" w:rsidP="00473A35">
      <w:pPr>
        <w:pStyle w:val="Prrafodelista"/>
        <w:numPr>
          <w:ilvl w:val="0"/>
          <w:numId w:val="8"/>
        </w:numPr>
        <w:spacing w:line="360" w:lineRule="auto"/>
        <w:ind w:left="426" w:right="49" w:hanging="426"/>
        <w:jc w:val="both"/>
        <w:rPr>
          <w:rFonts w:ascii="Palatino Linotype" w:hAnsi="Palatino Linotype"/>
          <w:sz w:val="24"/>
        </w:rPr>
      </w:pPr>
      <w:r w:rsidRPr="00473A35">
        <w:rPr>
          <w:rFonts w:ascii="Palatino Linotype" w:hAnsi="Palatino Linotype" w:cs="Arial"/>
          <w:sz w:val="24"/>
        </w:rPr>
        <w:t xml:space="preserve">El Sujeto Obligado mediante la respuesta e informe justificado señaló medularmente que para el periodo 2018-2023 se están realizando mesas de </w:t>
      </w:r>
      <w:r w:rsidRPr="00473A35">
        <w:rPr>
          <w:rFonts w:ascii="Palatino Linotype" w:hAnsi="Palatino Linotype" w:cs="Arial"/>
          <w:sz w:val="24"/>
        </w:rPr>
        <w:lastRenderedPageBreak/>
        <w:t xml:space="preserve">trabajo </w:t>
      </w:r>
      <w:r w:rsidRPr="00473A35">
        <w:rPr>
          <w:rFonts w:ascii="Palatino Linotype" w:hAnsi="Palatino Linotype"/>
        </w:rPr>
        <w:t xml:space="preserve">con organizaciones de la sociedad civil, académicas e instancias del gobierno para </w:t>
      </w:r>
      <w:r w:rsidRPr="00473A35">
        <w:rPr>
          <w:rFonts w:ascii="Palatino Linotype" w:hAnsi="Palatino Linotype"/>
          <w:b/>
        </w:rPr>
        <w:t>elaborar el Programa Integral</w:t>
      </w:r>
      <w:r w:rsidRPr="00473A35">
        <w:rPr>
          <w:rFonts w:ascii="Palatino Linotype" w:hAnsi="Palatino Linotype"/>
        </w:rPr>
        <w:t xml:space="preserve"> para la Igualdad de Trato y Oportunidades entre Mujeres y Hombres y para Prevenir, Atender, Sancionar y Erradicar la Violencia contra las Mujeres</w:t>
      </w:r>
      <w:r w:rsidR="001D6E94" w:rsidRPr="00473A35">
        <w:rPr>
          <w:rFonts w:ascii="Palatino Linotype" w:hAnsi="Palatino Linotype"/>
        </w:rPr>
        <w:t>. Y por lo que respecta al periodo 2011 al 2017 se ha cotizado el costo del diagnóstico a nivel estatal sobre las causas y frecuencia de la violencia contra las mujeres y niñas, mismo que tiene un costo aproximado de $7'000,000.00 (Siete millones de pesos 00/100 M.N.), por lo que, no cuenta con dicho diagnóstico, tanto para la administración pasada (periodo 2011-2017), como de la administración actual (2018-2023);</w:t>
      </w:r>
    </w:p>
    <w:p w:rsidR="00643F8E" w:rsidRPr="0079346C" w:rsidRDefault="00643F8E" w:rsidP="00643F8E">
      <w:pPr>
        <w:pStyle w:val="Prrafodelista"/>
        <w:widowControl w:val="0"/>
        <w:autoSpaceDE w:val="0"/>
        <w:autoSpaceDN w:val="0"/>
        <w:adjustRightInd w:val="0"/>
        <w:spacing w:before="160" w:line="360" w:lineRule="auto"/>
        <w:ind w:left="357"/>
        <w:contextualSpacing w:val="0"/>
        <w:jc w:val="both"/>
        <w:rPr>
          <w:rFonts w:ascii="Palatino Linotype" w:hAnsi="Palatino Linotype"/>
        </w:rPr>
      </w:pPr>
    </w:p>
    <w:p w:rsidR="001D6E94" w:rsidRDefault="001D6E94"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Derivado de las constancias que obran dentro del expediente electrónico del SAIMEX, la ponencia encargada de presentar el proyecto de resolución, considero que debido a la falta de presupuesto al que hizo alusión el Sujeto Obligado, no se realizó el diagnostico al que requiere tener acceso la parte recurrente.</w:t>
      </w:r>
    </w:p>
    <w:p w:rsidR="001D6E94" w:rsidRDefault="001D6E94" w:rsidP="001D6E94">
      <w:pPr>
        <w:pStyle w:val="Prrafodelista"/>
        <w:spacing w:line="360" w:lineRule="auto"/>
        <w:ind w:left="360"/>
        <w:jc w:val="both"/>
        <w:rPr>
          <w:rFonts w:ascii="Palatino Linotype" w:hAnsi="Palatino Linotype"/>
          <w:sz w:val="24"/>
          <w:szCs w:val="24"/>
        </w:rPr>
      </w:pPr>
    </w:p>
    <w:p w:rsidR="001D6E94" w:rsidRPr="00473A35" w:rsidRDefault="001D6E94" w:rsidP="00B35DFF">
      <w:pPr>
        <w:pStyle w:val="Prrafodelista"/>
        <w:numPr>
          <w:ilvl w:val="0"/>
          <w:numId w:val="8"/>
        </w:numPr>
        <w:spacing w:line="360" w:lineRule="auto"/>
        <w:jc w:val="both"/>
        <w:rPr>
          <w:rFonts w:ascii="Palatino Linotype" w:hAnsi="Palatino Linotype"/>
          <w:sz w:val="24"/>
          <w:szCs w:val="24"/>
        </w:rPr>
      </w:pPr>
      <w:r w:rsidRPr="00573784">
        <w:rPr>
          <w:rFonts w:ascii="Palatino Linotype" w:hAnsi="Palatino Linotype"/>
          <w:sz w:val="24"/>
          <w:szCs w:val="24"/>
        </w:rPr>
        <w:t>Resultando así, que de la normatividad que atañe al Sujeto Obligado, se encuentra el Programa Integral</w:t>
      </w:r>
      <w:r w:rsidRPr="00573784">
        <w:rPr>
          <w:rFonts w:ascii="Palatino Linotype" w:hAnsi="Palatino Linotype" w:cs="Arial"/>
          <w:sz w:val="24"/>
          <w:szCs w:val="24"/>
        </w:rPr>
        <w:t xml:space="preserve"> correspondiente al periodo 2011-2017, mismo que, dentro de las líneas de acción se encuentra </w:t>
      </w:r>
      <w:r w:rsidRPr="00573784">
        <w:rPr>
          <w:rFonts w:ascii="Palatino Linotype" w:hAnsi="Palatino Linotype" w:cs="Arial"/>
          <w:i/>
          <w:sz w:val="24"/>
          <w:szCs w:val="24"/>
        </w:rPr>
        <w:t xml:space="preserve">elaborar diagnósticos y estadísticas en los refugios, en las Unidades y Centros </w:t>
      </w:r>
      <w:r w:rsidR="00573784" w:rsidRPr="00573784">
        <w:rPr>
          <w:rFonts w:ascii="Palatino Linotype" w:hAnsi="Palatino Linotype" w:cs="Arial"/>
          <w:i/>
          <w:sz w:val="24"/>
          <w:szCs w:val="24"/>
        </w:rPr>
        <w:t>de Atención a Mujeres en Situación de Violencia sobre las causas, la frecuencia y las consecuencias de la violencia contra las mujeres y los motivos por los cuales no abandonan a la persona agresora, a fin de generar acciones</w:t>
      </w:r>
      <w:r w:rsidR="00573784" w:rsidRPr="00573784">
        <w:rPr>
          <w:rFonts w:ascii="Palatino Linotype" w:hAnsi="Palatino Linotype" w:cs="Arial"/>
          <w:sz w:val="24"/>
          <w:szCs w:val="24"/>
        </w:rPr>
        <w:t xml:space="preserve">; así como también se </w:t>
      </w:r>
      <w:r w:rsidRPr="00573784">
        <w:rPr>
          <w:rFonts w:ascii="Palatino Linotype" w:hAnsi="Palatino Linotype" w:cs="Arial"/>
          <w:sz w:val="24"/>
          <w:szCs w:val="24"/>
        </w:rPr>
        <w:t xml:space="preserve"> </w:t>
      </w:r>
      <w:r w:rsidR="00573784">
        <w:rPr>
          <w:rFonts w:ascii="Palatino Linotype" w:hAnsi="Palatino Linotype" w:cs="Arial"/>
          <w:sz w:val="24"/>
          <w:szCs w:val="24"/>
        </w:rPr>
        <w:t xml:space="preserve">advierte que deberán </w:t>
      </w:r>
      <w:r w:rsidR="00573784" w:rsidRPr="00573784">
        <w:rPr>
          <w:rFonts w:ascii="Palatino Linotype" w:hAnsi="Palatino Linotype" w:cs="Arial"/>
          <w:i/>
          <w:sz w:val="24"/>
          <w:szCs w:val="24"/>
        </w:rPr>
        <w:t xml:space="preserve">publicar en la página web del </w:t>
      </w:r>
      <w:proofErr w:type="spellStart"/>
      <w:r w:rsidR="00573784" w:rsidRPr="00573784">
        <w:rPr>
          <w:rFonts w:ascii="Palatino Linotype" w:hAnsi="Palatino Linotype" w:cs="Arial"/>
          <w:i/>
          <w:sz w:val="24"/>
          <w:szCs w:val="24"/>
        </w:rPr>
        <w:lastRenderedPageBreak/>
        <w:t>CEMyBS</w:t>
      </w:r>
      <w:proofErr w:type="spellEnd"/>
      <w:r w:rsidR="00573784" w:rsidRPr="00573784">
        <w:rPr>
          <w:rFonts w:ascii="Palatino Linotype" w:hAnsi="Palatino Linotype" w:cs="Arial"/>
          <w:i/>
          <w:sz w:val="24"/>
          <w:szCs w:val="24"/>
        </w:rPr>
        <w:t xml:space="preserve"> y difundir entre las instituciones integrantes del Sistema Estatal, los resultados de los diagnósticos y otras investigaciones relacionadas con la posición y condición de las mujeres y violencia de genero.</w:t>
      </w:r>
    </w:p>
    <w:p w:rsidR="00473A35" w:rsidRPr="00473A35" w:rsidRDefault="00473A35" w:rsidP="00473A35">
      <w:pPr>
        <w:pStyle w:val="Prrafodelista"/>
        <w:rPr>
          <w:rFonts w:ascii="Palatino Linotype" w:hAnsi="Palatino Linotype"/>
          <w:sz w:val="24"/>
          <w:szCs w:val="24"/>
        </w:rPr>
      </w:pPr>
    </w:p>
    <w:p w:rsidR="00573784" w:rsidRDefault="00573784"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Dicho lo anterior, comparto la postura adoptada por la ponencia </w:t>
      </w:r>
      <w:proofErr w:type="spellStart"/>
      <w:r>
        <w:rPr>
          <w:rFonts w:ascii="Palatino Linotype" w:hAnsi="Palatino Linotype"/>
          <w:sz w:val="24"/>
          <w:szCs w:val="24"/>
        </w:rPr>
        <w:t>resolutora</w:t>
      </w:r>
      <w:proofErr w:type="spellEnd"/>
      <w:r>
        <w:rPr>
          <w:rFonts w:ascii="Palatino Linotype" w:hAnsi="Palatino Linotype"/>
          <w:sz w:val="24"/>
          <w:szCs w:val="24"/>
        </w:rPr>
        <w:t>, pues debido al pronunciamiento realizado por el Sujeto Obligado a nada práctico nos conduciría ordenar la entrega de la información, toda vez que ya se ha dicho que no se cuenta con el presupuesto para realizar los diagnósticos correspondientes, en consecuencia, la información no se ha generado. En consecuencia lo idóneo fue ordenar la entrega del acuerdo de inexistencia, sin embargo, he de precisar algunas cuestiones que considero importantes.</w:t>
      </w:r>
    </w:p>
    <w:p w:rsidR="00643F8E" w:rsidRPr="00643F8E" w:rsidRDefault="00643F8E" w:rsidP="00643F8E">
      <w:pPr>
        <w:pStyle w:val="Prrafodelista"/>
        <w:rPr>
          <w:rFonts w:ascii="Palatino Linotype" w:hAnsi="Palatino Linotype"/>
          <w:sz w:val="24"/>
          <w:szCs w:val="24"/>
        </w:rPr>
      </w:pPr>
    </w:p>
    <w:p w:rsidR="00643F8E" w:rsidRPr="00643F8E" w:rsidRDefault="00643F8E" w:rsidP="00643F8E">
      <w:pPr>
        <w:pStyle w:val="Ttulo1"/>
        <w:numPr>
          <w:ilvl w:val="0"/>
          <w:numId w:val="18"/>
        </w:numPr>
        <w:rPr>
          <w:rFonts w:ascii="Palatino Linotype" w:hAnsi="Palatino Linotype"/>
          <w:b/>
          <w:color w:val="auto"/>
          <w:sz w:val="24"/>
          <w:szCs w:val="22"/>
        </w:rPr>
      </w:pPr>
      <w:bookmarkStart w:id="3" w:name="_Toc523487409"/>
      <w:r w:rsidRPr="00643F8E">
        <w:rPr>
          <w:rFonts w:ascii="Palatino Linotype" w:hAnsi="Palatino Linotype"/>
          <w:b/>
          <w:color w:val="auto"/>
          <w:sz w:val="24"/>
        </w:rPr>
        <w:t>De la Inexistencia de la información.</w:t>
      </w:r>
      <w:bookmarkEnd w:id="3"/>
    </w:p>
    <w:p w:rsidR="00643F8E" w:rsidRPr="002F404C" w:rsidRDefault="00643F8E" w:rsidP="00643F8E">
      <w:pPr>
        <w:spacing w:line="360" w:lineRule="auto"/>
        <w:jc w:val="both"/>
        <w:rPr>
          <w:rFonts w:ascii="Palatino Linotype" w:hAnsi="Palatino Linotype" w:cs="Arial"/>
          <w:b/>
        </w:rPr>
      </w:pPr>
    </w:p>
    <w:p w:rsidR="00643F8E" w:rsidRPr="007254B4" w:rsidRDefault="00643F8E" w:rsidP="00643F8E">
      <w:pPr>
        <w:pStyle w:val="Prrafodelista"/>
        <w:numPr>
          <w:ilvl w:val="0"/>
          <w:numId w:val="8"/>
        </w:numPr>
        <w:spacing w:after="0" w:line="360" w:lineRule="auto"/>
        <w:jc w:val="both"/>
        <w:rPr>
          <w:rFonts w:ascii="Palatino Linotype" w:hAnsi="Palatino Linotype" w:cs="Arial"/>
          <w:sz w:val="24"/>
        </w:rPr>
      </w:pPr>
      <w:r w:rsidRPr="007254B4">
        <w:rPr>
          <w:rFonts w:ascii="Palatino Linotype" w:hAnsi="Palatino Linotype" w:cs="Arial"/>
          <w:sz w:val="24"/>
        </w:rPr>
        <w:t xml:space="preserve">Derivado de que, como se dijo, pudiera ser el caso que el Sujeto Obligado no cuente con la información de la que se ordena su entrega conforme el Considerando Cuarto, deberá elaborar el acuerdo que contenga la declaratoria de la inexistencia en el que se expongan las razones por las que se buscó la información, las áreas en las que se instruyó la búsqueda, los criterios y los métodos de búsqueda utilizados, así como las respuestas otorgadas por los Servidores Públicos Habilitados y, en general, todas aquéllas circunstancias de modo, tiempo y lugar que se tomaron en cuenta para determinar que la </w:t>
      </w:r>
      <w:r w:rsidRPr="007254B4">
        <w:rPr>
          <w:rFonts w:ascii="Palatino Linotype" w:hAnsi="Palatino Linotype" w:cs="Arial"/>
          <w:sz w:val="24"/>
        </w:rPr>
        <w:lastRenderedPageBreak/>
        <w:t>información requerida, no obra en sus archivos. De este modo, el particular puede tener la certeza de que se hizo una búsqueda exhaustiva y, de que, se le dio la atención adecuada a su solicitud.</w:t>
      </w:r>
    </w:p>
    <w:p w:rsidR="00643F8E" w:rsidRPr="007254B4" w:rsidRDefault="00643F8E" w:rsidP="00643F8E">
      <w:pPr>
        <w:pStyle w:val="Prrafodelista"/>
        <w:spacing w:line="360" w:lineRule="auto"/>
        <w:ind w:left="0"/>
        <w:jc w:val="both"/>
        <w:rPr>
          <w:rFonts w:ascii="Palatino Linotype" w:hAnsi="Palatino Linotype" w:cs="Arial"/>
          <w:sz w:val="24"/>
        </w:rPr>
      </w:pPr>
    </w:p>
    <w:p w:rsidR="00643F8E" w:rsidRPr="007254B4" w:rsidRDefault="00643F8E" w:rsidP="00CD6AE6">
      <w:pPr>
        <w:pStyle w:val="Prrafodelista"/>
        <w:numPr>
          <w:ilvl w:val="0"/>
          <w:numId w:val="8"/>
        </w:numPr>
        <w:spacing w:after="0" w:line="360" w:lineRule="auto"/>
        <w:ind w:left="426"/>
        <w:jc w:val="both"/>
        <w:rPr>
          <w:rFonts w:ascii="Palatino Linotype" w:hAnsi="Palatino Linotype" w:cs="Arial"/>
          <w:sz w:val="24"/>
        </w:rPr>
      </w:pPr>
      <w:r w:rsidRPr="007254B4">
        <w:rPr>
          <w:rFonts w:ascii="Palatino Linotype" w:hAnsi="Palatino Linotype" w:cs="Arial"/>
          <w:sz w:val="24"/>
        </w:rPr>
        <w:t>En tal caso, la declaratoria deberá realizarse conforme a lo dispuesto en los artículos 19, 47,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CD6AE6" w:rsidRPr="00CD6AE6" w:rsidRDefault="00CD6AE6" w:rsidP="00CD6AE6">
      <w:pPr>
        <w:pStyle w:val="Prrafodelista"/>
        <w:rPr>
          <w:rFonts w:ascii="Palatino Linotype" w:hAnsi="Palatino Linotype" w:cs="Arial"/>
        </w:rPr>
      </w:pPr>
    </w:p>
    <w:p w:rsidR="00643F8E" w:rsidRPr="00CD6AE6" w:rsidRDefault="00643F8E" w:rsidP="00643F8E">
      <w:pPr>
        <w:spacing w:line="360" w:lineRule="auto"/>
        <w:ind w:left="567" w:right="567"/>
        <w:jc w:val="both"/>
        <w:rPr>
          <w:rFonts w:ascii="Palatino Linotype" w:hAnsi="Palatino Linotype" w:cs="Arial"/>
          <w:i/>
        </w:rPr>
      </w:pPr>
      <w:r w:rsidRPr="00CD6AE6">
        <w:rPr>
          <w:rFonts w:ascii="Palatino Linotype" w:hAnsi="Palatino Linotype" w:cs="Arial"/>
          <w:i/>
        </w:rPr>
        <w:t xml:space="preserve">“Artículo 19. Se presume que la información debe existir si se refiere a las facultades, competencias y funciones que los ordenamientos jurídicos aplicables otorgan a los sujetos obligados. </w:t>
      </w:r>
    </w:p>
    <w:p w:rsidR="00643F8E" w:rsidRPr="002F404C" w:rsidRDefault="00643F8E" w:rsidP="00643F8E">
      <w:pPr>
        <w:spacing w:line="360" w:lineRule="auto"/>
        <w:ind w:left="567" w:right="567"/>
        <w:jc w:val="both"/>
        <w:rPr>
          <w:rFonts w:ascii="Palatino Linotype" w:hAnsi="Palatino Linotype" w:cs="Arial"/>
        </w:rPr>
      </w:pPr>
      <w:r w:rsidRPr="002F404C">
        <w:rPr>
          <w:rFonts w:ascii="Palatino Linotype" w:hAnsi="Palatino Linotype" w:cs="Arial"/>
        </w:rPr>
        <w:t>…</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 xml:space="preserve">Si el sujeto obligado, en el ejercicio de sus atribuciones, debía generar, poseer o administrar la información, pero ésta no se encuentra, el Comité de transparencia deberá emitir un acuerdo de </w:t>
      </w:r>
      <w:r w:rsidRPr="00DD2C40">
        <w:rPr>
          <w:rFonts w:ascii="Palatino Linotype" w:hAnsi="Palatino Linotype" w:cs="Arial"/>
          <w:b/>
          <w:i/>
        </w:rPr>
        <w:t>inexistencia, debidamente</w:t>
      </w:r>
      <w:r w:rsidRPr="00DD2C40">
        <w:rPr>
          <w:rFonts w:ascii="Palatino Linotype" w:hAnsi="Palatino Linotype" w:cs="Arial"/>
          <w:i/>
        </w:rPr>
        <w:t xml:space="preserve"> fundado y motivado, en el que detalle las razones del por qué no obra en sus archivos.</w:t>
      </w:r>
    </w:p>
    <w:p w:rsidR="00643F8E" w:rsidRPr="00DD2C40" w:rsidRDefault="00643F8E" w:rsidP="00643F8E">
      <w:pPr>
        <w:spacing w:line="360" w:lineRule="auto"/>
        <w:ind w:left="567" w:right="709"/>
        <w:jc w:val="both"/>
        <w:rPr>
          <w:rFonts w:ascii="Palatino Linotype" w:hAnsi="Palatino Linotype" w:cs="Arial"/>
          <w:i/>
        </w:rPr>
      </w:pP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Artículo 47. El Comité de Transparencia será la autoridad máxima al interior del sujeto obligado en materia del derecho de acceso a la información.</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lastRenderedPageBreak/>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El Comité se reunirá en sesión ordinaria o extraordinaria las veces que estime necesario. El tipo de sesión se precisará en la convocatoria emitida.</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Los integrantes del Comité de Transparencia tendrán acceso a la información para determinar su clasificación, conforme a la normatividad aplicable previamente establecida por los sujetos obligados para el resguardo o salvaguarda de la información.</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En las sesiones y trabajos del Comité, podrán participar como invitados permanentes, los representantes de las áreas que decida el Comité, y contará con derecho de voz, pero no voto.</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Los titulares de las unidades administrativas que propongan la reserva, confidencialidad o declaren la inexistencia de información, acudirán a las sesiones de dicho Comité donde se discuta la propuesta correspondiente.</w:t>
      </w:r>
    </w:p>
    <w:p w:rsidR="00643F8E" w:rsidRPr="00DD2C40" w:rsidRDefault="00643F8E" w:rsidP="00643F8E">
      <w:pPr>
        <w:spacing w:line="360" w:lineRule="auto"/>
        <w:ind w:left="567" w:right="709"/>
        <w:jc w:val="both"/>
        <w:rPr>
          <w:rFonts w:ascii="Palatino Linotype" w:hAnsi="Palatino Linotype" w:cs="Arial"/>
          <w:i/>
        </w:rPr>
      </w:pP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Artículo 49. Los Comités de Transparencia tendrán las siguientes atribuciones:</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II. Confirmar, modificar o revocar las determinaciones que en materia de ampliación del plazo de respuesta, clasificación de la información y declaración de inexistencia o de incompetencia realicen los titulares de las áreas de los sujetos obligados;</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lastRenderedPageBreak/>
        <w:t>…</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XIII. Dictaminar las declaratorias de inexistencia de la información que les remitan las unidades administrativas y resolver en consecuencia;</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 Analizará el caso y tomará las medidas necesarias para localizar la información;</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II. Expedirá una resolución que confirme la inexistencia del documento;</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IV. Notificará al órgano interno de control o equivalente del sujeto obligado quien, en su caso, deberá iniciar el procedimiento de responsabilidad administrativa que corresponda.</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La Unidad de Transparencia deberá notificarlo al solicitante por escrito, en un plazo que no exceda de quince días hábiles contados a partir del día siguiente a la presentación de la solicitud.</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Este plazo podrá ampliarse hasta por otros siete días hábiles, siempre que existan razones para ello, debiendo notificarse por escrito al solicitante.</w:t>
      </w:r>
    </w:p>
    <w:p w:rsidR="00643F8E" w:rsidRPr="00DD2C40" w:rsidRDefault="00643F8E" w:rsidP="00643F8E">
      <w:pPr>
        <w:spacing w:line="360" w:lineRule="auto"/>
        <w:ind w:left="567" w:right="709"/>
        <w:jc w:val="both"/>
        <w:rPr>
          <w:rFonts w:ascii="Palatino Linotype" w:hAnsi="Palatino Linotype" w:cs="Arial"/>
          <w:i/>
        </w:rPr>
      </w:pP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lastRenderedPageBreak/>
        <w:t>Artículo 169. Cuando la información no se encuentre en los archivos del sujeto obligado, el Comité de Transparencia:</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 Analizará el caso y tomará las medidas necesarias para localizar la información;</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II. Expedirá una resolución que confirme la inexistencia del documento;</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IV. Notificará al órgano interno de control o equivalente del sujeto obligado quien, en su caso, deberá iniciar el procedimiento de responsabilidad administrativa que corresponda.</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La Unidad de Transparencia deberá notificarlo al solicitante por escrito, en un plazo que no exceda de quince días hábiles contados a partir del día siguiente a la presentación de la solicitud.</w:t>
      </w:r>
    </w:p>
    <w:p w:rsidR="00643F8E"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Este plazo podrá ampliarse hasta por otros siete días hábiles, siempre que existan razones para ello, debiendo notificarse por escrito al solicitante.</w:t>
      </w:r>
    </w:p>
    <w:p w:rsidR="00CD6AE6" w:rsidRPr="00DD2C40" w:rsidRDefault="00CD6AE6" w:rsidP="00643F8E">
      <w:pPr>
        <w:spacing w:line="360" w:lineRule="auto"/>
        <w:ind w:left="567" w:right="709"/>
        <w:jc w:val="both"/>
        <w:rPr>
          <w:rFonts w:ascii="Palatino Linotype" w:hAnsi="Palatino Linotype" w:cs="Arial"/>
          <w:i/>
        </w:rPr>
      </w:pP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 xml:space="preserve">Artículo 170. La resolución del Comité de Transparencia que confirme la inexistencia de la información solicitada contendrá los elementos mínimos que permitan al </w:t>
      </w:r>
      <w:r w:rsidRPr="00DD2C40">
        <w:rPr>
          <w:rFonts w:ascii="Palatino Linotype" w:hAnsi="Palatino Linotype" w:cs="Arial"/>
          <w:i/>
        </w:rPr>
        <w:lastRenderedPageBreak/>
        <w:t>solicitante tener la certeza de que se utilizó un criterio de búsqueda exhaustivo, además de señalar las circunstancias de tiempo, modo y lugar que generaron la existencia en cuestión y señalará al servidor público responsable de contar con la misma.”</w:t>
      </w:r>
    </w:p>
    <w:p w:rsidR="00643F8E" w:rsidRPr="00DD2C40" w:rsidRDefault="00643F8E" w:rsidP="00643F8E">
      <w:pPr>
        <w:spacing w:line="360" w:lineRule="auto"/>
        <w:ind w:left="567" w:right="709"/>
        <w:jc w:val="both"/>
        <w:rPr>
          <w:rFonts w:ascii="Palatino Linotype" w:hAnsi="Palatino Linotype" w:cs="Arial"/>
          <w:i/>
        </w:rPr>
      </w:pPr>
      <w:r w:rsidRPr="00DD2C40">
        <w:rPr>
          <w:rFonts w:ascii="Palatino Linotype" w:hAnsi="Palatino Linotype" w:cs="Arial"/>
          <w:i/>
        </w:rPr>
        <w:t>(Énfasis añadido)</w:t>
      </w:r>
    </w:p>
    <w:p w:rsidR="00643F8E" w:rsidRPr="002F404C" w:rsidRDefault="00643F8E" w:rsidP="00643F8E">
      <w:pPr>
        <w:spacing w:line="360" w:lineRule="auto"/>
        <w:jc w:val="both"/>
        <w:rPr>
          <w:rFonts w:ascii="Palatino Linotype" w:hAnsi="Palatino Linotype" w:cs="Arial"/>
        </w:rPr>
      </w:pPr>
    </w:p>
    <w:p w:rsidR="00643F8E" w:rsidRPr="007254B4" w:rsidRDefault="00643F8E" w:rsidP="007254B4">
      <w:pPr>
        <w:pStyle w:val="Prrafodelista"/>
        <w:numPr>
          <w:ilvl w:val="0"/>
          <w:numId w:val="8"/>
        </w:numPr>
        <w:spacing w:after="0" w:line="360" w:lineRule="auto"/>
        <w:ind w:left="426" w:hanging="426"/>
        <w:jc w:val="both"/>
        <w:rPr>
          <w:rFonts w:ascii="Palatino Linotype" w:hAnsi="Palatino Linotype" w:cs="Arial"/>
          <w:sz w:val="24"/>
        </w:rPr>
      </w:pPr>
      <w:r w:rsidRPr="007254B4">
        <w:rPr>
          <w:rFonts w:ascii="Palatino Linotype" w:hAnsi="Palatino Linotype" w:cs="Arial"/>
          <w:sz w:val="24"/>
        </w:rPr>
        <w:t>En observancia a lo anterior,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además, que resultan aplicables los criterios de interpretación en el orden administrativo número 0003-11 y 004-11 emitidos por Acuerdo del Pleno del Instituto de Transparencia y Acceso a la Información Pública del Estado de México y Municipios, que a la letra dicen:</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 xml:space="preserve">“CRITERIO 003-11. </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 xml:space="preserve">INEXISTENCIA, CONCEPTO DE, EN MATERIA DE TRANSPARENCIA. La interpretación sistemática de los artículos 29 y 30, fracción VIII, de la Ley de Transparencia y Acceso a la Información Pública del Estado de México y Municipios, </w:t>
      </w:r>
      <w:r w:rsidRPr="007254B4">
        <w:rPr>
          <w:rFonts w:ascii="Palatino Linotype" w:hAnsi="Palatino Linotype" w:cs="Arial"/>
          <w:i/>
        </w:rPr>
        <w:lastRenderedPageBreak/>
        <w:t>permite concluir que la inexistencia de la información en el derecho de acceso a la información pública conlleva necesariamente a los siguientes supuestos:</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 xml:space="preserve">b) En los casos en que por las atribuciones conferidas al Sujeto Obligado éste debió generar, administrar o poseer la información, pero en incumplimiento a la normatividad respectiva no llevó a cabo </w:t>
      </w:r>
      <w:proofErr w:type="gramStart"/>
      <w:r w:rsidRPr="007254B4">
        <w:rPr>
          <w:rFonts w:ascii="Palatino Linotype" w:hAnsi="Palatino Linotype" w:cs="Arial"/>
          <w:i/>
        </w:rPr>
        <w:t>ninguna</w:t>
      </w:r>
      <w:proofErr w:type="gramEnd"/>
      <w:r w:rsidRPr="007254B4">
        <w:rPr>
          <w:rFonts w:ascii="Palatino Linotype" w:hAnsi="Palatino Linotype" w:cs="Arial"/>
          <w:i/>
        </w:rPr>
        <w:t xml:space="preserve"> de esas acciones.</w:t>
      </w:r>
    </w:p>
    <w:p w:rsidR="00643F8E" w:rsidRPr="007254B4" w:rsidRDefault="00643F8E" w:rsidP="007254B4">
      <w:pPr>
        <w:spacing w:line="360" w:lineRule="auto"/>
        <w:ind w:left="567" w:right="616"/>
        <w:jc w:val="both"/>
        <w:rPr>
          <w:rFonts w:ascii="Palatino Linotype" w:hAnsi="Palatino Linotype" w:cs="Arial"/>
          <w:i/>
        </w:rPr>
      </w:pPr>
    </w:p>
    <w:p w:rsidR="00643F8E" w:rsidRDefault="00643F8E" w:rsidP="00473A35">
      <w:pPr>
        <w:pStyle w:val="Prrafodelista"/>
        <w:numPr>
          <w:ilvl w:val="0"/>
          <w:numId w:val="8"/>
        </w:numPr>
        <w:spacing w:after="0" w:line="360" w:lineRule="auto"/>
        <w:ind w:left="426" w:right="616" w:hanging="426"/>
        <w:jc w:val="both"/>
        <w:rPr>
          <w:rFonts w:ascii="Palatino Linotype" w:hAnsi="Palatino Linotype" w:cs="Arial"/>
          <w:sz w:val="24"/>
        </w:rPr>
      </w:pPr>
      <w:r w:rsidRPr="00473A35">
        <w:rPr>
          <w:rFonts w:ascii="Palatino Linotype" w:hAnsi="Palatino Linotype" w:cs="Arial"/>
          <w:sz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473A35" w:rsidRPr="00473A35" w:rsidRDefault="00473A35" w:rsidP="00473A35">
      <w:pPr>
        <w:pStyle w:val="Prrafodelista"/>
        <w:spacing w:after="0" w:line="360" w:lineRule="auto"/>
        <w:ind w:left="567" w:right="616"/>
        <w:jc w:val="both"/>
        <w:rPr>
          <w:rFonts w:ascii="Palatino Linotype" w:hAnsi="Palatino Linotype" w:cs="Arial"/>
          <w:sz w:val="24"/>
        </w:rPr>
      </w:pP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CRITERIO 004/2011</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 xml:space="preserve">INEXISTENCIA. DECLARATORIA DE LA. ALCANCES Y PROCEDIMIENTOS.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w:t>
      </w:r>
      <w:r w:rsidRPr="007254B4">
        <w:rPr>
          <w:rFonts w:ascii="Palatino Linotype" w:hAnsi="Palatino Linotype" w:cs="Arial"/>
          <w:i/>
        </w:rPr>
        <w:lastRenderedPageBreak/>
        <w:t>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Bajo el entendido de que dicha búsqueda exhaustiva permitirá dos determinaciones:</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a) Que se localice la documentación que contenga la información solicitada y de ser así la información pueda entregarse al solicitante en la forma en que se encuentra disponible, o</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 xml:space="preserve">Aunado a lo anterior, en el dictamen de declaratoria de inexistencia el Comité de Información deberá motivar o precisar las razones por las que se buscó la información, </w:t>
      </w:r>
      <w:r w:rsidRPr="007254B4">
        <w:rPr>
          <w:rFonts w:ascii="Palatino Linotype" w:hAnsi="Palatino Linotype" w:cs="Arial"/>
          <w:i/>
        </w:rPr>
        <w:lastRenderedPageBreak/>
        <w:t>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643F8E" w:rsidRPr="007254B4" w:rsidRDefault="00643F8E" w:rsidP="007254B4">
      <w:pPr>
        <w:spacing w:line="360" w:lineRule="auto"/>
        <w:ind w:left="567" w:right="616"/>
        <w:jc w:val="both"/>
        <w:rPr>
          <w:rFonts w:ascii="Palatino Linotype" w:hAnsi="Palatino Linotype" w:cs="Arial"/>
          <w:i/>
        </w:rPr>
      </w:pPr>
      <w:r w:rsidRPr="007254B4">
        <w:rPr>
          <w:rFonts w:ascii="Palatino Linotype" w:hAnsi="Palatino Linotype" w:cs="Arial"/>
          <w:i/>
        </w:rPr>
        <w:t>(Énfasis añadido)</w:t>
      </w:r>
    </w:p>
    <w:p w:rsidR="00643F8E" w:rsidRDefault="00643F8E" w:rsidP="00643F8E">
      <w:pPr>
        <w:spacing w:line="360" w:lineRule="auto"/>
        <w:jc w:val="both"/>
        <w:rPr>
          <w:rFonts w:ascii="Palatino Linotype" w:hAnsi="Palatino Linotype" w:cs="Arial"/>
        </w:rPr>
      </w:pPr>
    </w:p>
    <w:p w:rsidR="00643F8E" w:rsidRDefault="00643F8E" w:rsidP="00CD6AE6">
      <w:pPr>
        <w:pStyle w:val="Prrafodelista"/>
        <w:numPr>
          <w:ilvl w:val="0"/>
          <w:numId w:val="8"/>
        </w:numPr>
        <w:spacing w:after="0" w:line="360" w:lineRule="auto"/>
        <w:ind w:left="426" w:hanging="426"/>
        <w:jc w:val="both"/>
        <w:rPr>
          <w:rFonts w:ascii="Palatino Linotype" w:hAnsi="Palatino Linotype" w:cs="Arial"/>
        </w:rPr>
      </w:pPr>
      <w:r w:rsidRPr="00DD2C40">
        <w:rPr>
          <w:rFonts w:ascii="Palatino Linotype" w:hAnsi="Palatino Linotype" w:cs="Arial"/>
        </w:rPr>
        <w:t>Bajo éste tenor se debe destacar que para que se declare la inexistencia de la información deberá de encuadrar en dos hipótesis, la primera de ellas corresponde a que en atribuciones, competencias o funciones del Sujeto Obligado debió de haber generado, administrado o poseído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rsidR="00473A35" w:rsidRDefault="00473A35" w:rsidP="00473A35">
      <w:pPr>
        <w:spacing w:after="0" w:line="360" w:lineRule="auto"/>
        <w:jc w:val="both"/>
        <w:rPr>
          <w:rFonts w:ascii="Palatino Linotype" w:hAnsi="Palatino Linotype" w:cs="Arial"/>
        </w:rPr>
      </w:pPr>
    </w:p>
    <w:p w:rsidR="00473A35" w:rsidRPr="00473A35" w:rsidRDefault="00473A35" w:rsidP="00473A35">
      <w:pPr>
        <w:spacing w:after="0" w:line="360" w:lineRule="auto"/>
        <w:jc w:val="both"/>
        <w:rPr>
          <w:rFonts w:ascii="Palatino Linotype" w:hAnsi="Palatino Linotype" w:cs="Arial"/>
        </w:rPr>
      </w:pPr>
    </w:p>
    <w:p w:rsidR="00573784" w:rsidRPr="00573784" w:rsidRDefault="00573784" w:rsidP="00573784">
      <w:pPr>
        <w:pStyle w:val="Prrafodelista"/>
        <w:rPr>
          <w:rFonts w:ascii="Palatino Linotype" w:hAnsi="Palatino Linotype"/>
          <w:sz w:val="24"/>
          <w:szCs w:val="24"/>
        </w:rPr>
      </w:pPr>
    </w:p>
    <w:p w:rsidR="00B35DFF" w:rsidRPr="00BB0BA5" w:rsidRDefault="00B35DFF" w:rsidP="00AE55C3">
      <w:pPr>
        <w:pStyle w:val="Ttulo1"/>
        <w:numPr>
          <w:ilvl w:val="0"/>
          <w:numId w:val="18"/>
        </w:numPr>
        <w:rPr>
          <w:rFonts w:ascii="Palatino Linotype" w:hAnsi="Palatino Linotype"/>
          <w:b/>
          <w:color w:val="auto"/>
          <w:sz w:val="24"/>
        </w:rPr>
      </w:pPr>
      <w:bookmarkStart w:id="4" w:name="_Toc523487410"/>
      <w:r w:rsidRPr="00BB0BA5">
        <w:rPr>
          <w:rFonts w:ascii="Palatino Linotype" w:hAnsi="Palatino Linotype"/>
          <w:b/>
          <w:color w:val="auto"/>
          <w:sz w:val="24"/>
        </w:rPr>
        <w:lastRenderedPageBreak/>
        <w:t>Conclusión</w:t>
      </w:r>
      <w:bookmarkEnd w:id="4"/>
    </w:p>
    <w:p w:rsidR="00B35DFF" w:rsidRPr="00BB0BA5" w:rsidRDefault="00B35DFF" w:rsidP="00B35DFF">
      <w:pPr>
        <w:pStyle w:val="Prrafodelista"/>
        <w:spacing w:line="360" w:lineRule="auto"/>
        <w:ind w:left="360"/>
        <w:jc w:val="both"/>
        <w:rPr>
          <w:rFonts w:ascii="Palatino Linotype" w:hAnsi="Palatino Linotype"/>
          <w:sz w:val="24"/>
          <w:szCs w:val="24"/>
        </w:rPr>
      </w:pPr>
    </w:p>
    <w:p w:rsidR="00473A35" w:rsidRDefault="007254B4" w:rsidP="00FF0DA1">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Declarar la inexistencia de la información no solo es realizar un documento en el cual se plasme un acuerdo que refiera que la información simplemente no existe, sino que dicha declaración trae consigo una serie de circunstancias, es decir, se deberán plasmar las razones y motivos por los cuales la información que debiera existir, no obra en los archivos del Sujeto Obligado, lo que se traduce en negligencia, robo o extravío, por </w:t>
      </w:r>
      <w:r w:rsidR="00473A35">
        <w:rPr>
          <w:rFonts w:ascii="Palatino Linotype" w:hAnsi="Palatino Linotype"/>
          <w:sz w:val="24"/>
          <w:szCs w:val="24"/>
        </w:rPr>
        <w:t>tal motivo es necesario</w:t>
      </w:r>
      <w:r>
        <w:rPr>
          <w:rFonts w:ascii="Palatino Linotype" w:hAnsi="Palatino Linotype"/>
          <w:sz w:val="24"/>
          <w:szCs w:val="24"/>
        </w:rPr>
        <w:t xml:space="preserve"> dar vista a los órganos de control interno para que de ser el caso, se inicie el procedimiento de responsabilidad conducente, </w:t>
      </w:r>
      <w:r w:rsidR="00473A35">
        <w:rPr>
          <w:rFonts w:ascii="Palatino Linotype" w:hAnsi="Palatino Linotype"/>
          <w:sz w:val="24"/>
          <w:szCs w:val="24"/>
        </w:rPr>
        <w:t>en contra de la persona que resulte responsable de la inexistencia de la información requerida.</w:t>
      </w:r>
    </w:p>
    <w:p w:rsidR="00FF0DA1" w:rsidRDefault="00FF0DA1" w:rsidP="00575D84">
      <w:pPr>
        <w:spacing w:line="360" w:lineRule="auto"/>
        <w:jc w:val="both"/>
        <w:rPr>
          <w:rFonts w:ascii="Palatino Linotype" w:hAnsi="Palatino Linotype"/>
          <w:sz w:val="24"/>
          <w:szCs w:val="24"/>
        </w:rPr>
      </w:pPr>
    </w:p>
    <w:p w:rsidR="005351E2" w:rsidRDefault="005351E2" w:rsidP="00575D84">
      <w:pPr>
        <w:spacing w:line="360" w:lineRule="auto"/>
        <w:jc w:val="both"/>
        <w:rPr>
          <w:rFonts w:ascii="Palatino Linotype" w:hAnsi="Palatino Linotype"/>
          <w:sz w:val="24"/>
          <w:szCs w:val="24"/>
        </w:rPr>
      </w:pPr>
    </w:p>
    <w:p w:rsidR="00FF0DA1" w:rsidRDefault="00FF0DA1" w:rsidP="00575D84">
      <w:pPr>
        <w:spacing w:line="360" w:lineRule="auto"/>
        <w:jc w:val="both"/>
        <w:rPr>
          <w:rFonts w:ascii="Palatino Linotype" w:hAnsi="Palatino Linotype"/>
          <w:sz w:val="24"/>
          <w:szCs w:val="24"/>
        </w:rPr>
      </w:pPr>
    </w:p>
    <w:p w:rsidR="00473A35" w:rsidRPr="00575D84" w:rsidRDefault="00473A35" w:rsidP="00575D84">
      <w:pPr>
        <w:spacing w:line="360" w:lineRule="auto"/>
        <w:jc w:val="both"/>
        <w:rPr>
          <w:rFonts w:ascii="Palatino Linotype" w:hAnsi="Palatino Linotype"/>
          <w:sz w:val="24"/>
          <w:szCs w:val="24"/>
        </w:rPr>
      </w:pPr>
    </w:p>
    <w:p w:rsidR="005A4FE3" w:rsidRPr="00BB0BA5" w:rsidRDefault="005A4FE3" w:rsidP="005A4FE3">
      <w:pPr>
        <w:spacing w:line="360" w:lineRule="auto"/>
        <w:jc w:val="center"/>
        <w:rPr>
          <w:rFonts w:ascii="Palatino Linotype" w:hAnsi="Palatino Linotype"/>
          <w:b/>
          <w:sz w:val="24"/>
          <w:szCs w:val="24"/>
        </w:rPr>
      </w:pPr>
      <w:r w:rsidRPr="00BB0BA5">
        <w:rPr>
          <w:rFonts w:ascii="Palatino Linotype" w:hAnsi="Palatino Linotype"/>
          <w:b/>
          <w:sz w:val="24"/>
          <w:szCs w:val="24"/>
        </w:rPr>
        <w:t xml:space="preserve">JOSÉ GUADALUPE LUNA </w:t>
      </w:r>
      <w:r w:rsidR="00283F41" w:rsidRPr="00BB0BA5">
        <w:rPr>
          <w:rFonts w:ascii="Palatino Linotype" w:hAnsi="Palatino Linotype"/>
          <w:b/>
          <w:sz w:val="24"/>
          <w:szCs w:val="24"/>
        </w:rPr>
        <w:t>HERNÁNDEZ</w:t>
      </w:r>
    </w:p>
    <w:p w:rsidR="007C7C8A" w:rsidRDefault="005A4FE3" w:rsidP="0022566B">
      <w:pPr>
        <w:spacing w:line="360" w:lineRule="auto"/>
        <w:jc w:val="center"/>
        <w:rPr>
          <w:rFonts w:ascii="Palatino Linotype" w:hAnsi="Palatino Linotype"/>
          <w:b/>
          <w:sz w:val="24"/>
          <w:szCs w:val="24"/>
        </w:rPr>
      </w:pPr>
      <w:r w:rsidRPr="00BB0BA5">
        <w:rPr>
          <w:rFonts w:ascii="Palatino Linotype" w:hAnsi="Palatino Linotype"/>
          <w:b/>
          <w:sz w:val="24"/>
          <w:szCs w:val="24"/>
        </w:rPr>
        <w:t>COMISIONADO</w:t>
      </w:r>
    </w:p>
    <w:p w:rsidR="00E940EB" w:rsidRPr="00BB0BA5" w:rsidRDefault="005A4FE3" w:rsidP="00827A65">
      <w:pPr>
        <w:spacing w:line="360" w:lineRule="auto"/>
        <w:rPr>
          <w:rFonts w:ascii="Palatino Linotype" w:hAnsi="Palatino Linotype"/>
          <w:sz w:val="24"/>
          <w:szCs w:val="24"/>
        </w:rPr>
      </w:pPr>
      <w:r w:rsidRPr="00BB0BA5">
        <w:rPr>
          <w:rFonts w:ascii="Palatino Linotype" w:hAnsi="Palatino Linotype"/>
          <w:b/>
          <w:sz w:val="24"/>
          <w:szCs w:val="24"/>
        </w:rPr>
        <w:t>JGLH/ADM</w:t>
      </w:r>
      <w:r w:rsidR="00827A65" w:rsidRPr="00BB0BA5">
        <w:rPr>
          <w:rFonts w:ascii="Palatino Linotype" w:hAnsi="Palatino Linotype"/>
          <w:b/>
          <w:sz w:val="24"/>
          <w:szCs w:val="24"/>
        </w:rPr>
        <w:t>.</w:t>
      </w:r>
      <w:r w:rsidR="00796D90" w:rsidRPr="00BB0BA5">
        <w:rPr>
          <w:rFonts w:ascii="Palatino Linotype" w:hAnsi="Palatino Linotype"/>
          <w:b/>
          <w:sz w:val="24"/>
          <w:szCs w:val="24"/>
        </w:rPr>
        <w:t xml:space="preserve"> </w:t>
      </w:r>
      <w:r w:rsidR="00C1480F" w:rsidRPr="00BB0BA5">
        <w:rPr>
          <w:rFonts w:ascii="Palatino Linotype" w:hAnsi="Palatino Linotype"/>
          <w:b/>
          <w:sz w:val="24"/>
          <w:szCs w:val="24"/>
        </w:rPr>
        <w:t xml:space="preserve"> </w:t>
      </w:r>
    </w:p>
    <w:sectPr w:rsidR="00E940EB" w:rsidRPr="00BB0BA5" w:rsidSect="00AD4277">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4B5" w:rsidRDefault="007824B5" w:rsidP="00DC559A">
      <w:pPr>
        <w:spacing w:after="0" w:line="240" w:lineRule="auto"/>
      </w:pPr>
      <w:r>
        <w:separator/>
      </w:r>
    </w:p>
  </w:endnote>
  <w:endnote w:type="continuationSeparator" w:id="0">
    <w:p w:rsidR="007824B5" w:rsidRDefault="007824B5"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55158"/>
      <w:docPartObj>
        <w:docPartGallery w:val="Page Numbers (Bottom of Page)"/>
        <w:docPartUnique/>
      </w:docPartObj>
    </w:sdtPr>
    <w:sdtEndPr/>
    <w:sdtContent>
      <w:sdt>
        <w:sdtPr>
          <w:id w:val="-1769616900"/>
          <w:docPartObj>
            <w:docPartGallery w:val="Page Numbers (Top of Page)"/>
            <w:docPartUnique/>
          </w:docPartObj>
        </w:sdtPr>
        <w:sdtEndPr/>
        <w:sdtContent>
          <w:p w:rsidR="00AD4277" w:rsidRDefault="00AD42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42E8">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42E8">
              <w:rPr>
                <w:b/>
                <w:bCs/>
                <w:noProof/>
              </w:rPr>
              <w:t>14</w:t>
            </w:r>
            <w:r>
              <w:rPr>
                <w:b/>
                <w:bCs/>
                <w:sz w:val="24"/>
                <w:szCs w:val="24"/>
              </w:rPr>
              <w:fldChar w:fldCharType="end"/>
            </w:r>
          </w:p>
        </w:sdtContent>
      </w:sdt>
    </w:sdtContent>
  </w:sdt>
  <w:p w:rsidR="00CD5D3B" w:rsidRDefault="00CD5D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4B5" w:rsidRDefault="007824B5" w:rsidP="00DC559A">
      <w:pPr>
        <w:spacing w:after="0" w:line="240" w:lineRule="auto"/>
      </w:pPr>
      <w:r>
        <w:separator/>
      </w:r>
    </w:p>
  </w:footnote>
  <w:footnote w:type="continuationSeparator" w:id="0">
    <w:p w:rsidR="007824B5" w:rsidRDefault="007824B5" w:rsidP="00DC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7824B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7" o:spid="_x0000_s2049" type="#_x0000_t136" style="position:absolute;margin-left:0;margin-top:0;width:566.4pt;height:56.6pt;rotation:315;z-index:-251659264;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7824B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8" o:spid="_x0000_s2050" type="#_x0000_t136" style="position:absolute;margin-left:0;margin-top:0;width:566.4pt;height:56.6pt;rotation:315;z-index:-251658240;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p w:rsidR="00CD5D3B" w:rsidRDefault="00CD5D3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7824B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6" o:spid="_x0000_s2051" type="#_x0000_t136" style="position:absolute;margin-left:0;margin-top:0;width:566.4pt;height:56.6pt;rotation:315;z-index:-251657216;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C2E94"/>
    <w:multiLevelType w:val="hybridMultilevel"/>
    <w:tmpl w:val="8658500E"/>
    <w:lvl w:ilvl="0" w:tplc="7942789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F42E17"/>
    <w:multiLevelType w:val="hybridMultilevel"/>
    <w:tmpl w:val="CAA012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107F3B"/>
    <w:multiLevelType w:val="hybridMultilevel"/>
    <w:tmpl w:val="30F812A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5813181"/>
    <w:multiLevelType w:val="hybridMultilevel"/>
    <w:tmpl w:val="AC7A49E8"/>
    <w:lvl w:ilvl="0" w:tplc="172097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2657CE"/>
    <w:multiLevelType w:val="hybridMultilevel"/>
    <w:tmpl w:val="357E7638"/>
    <w:lvl w:ilvl="0" w:tplc="B7E079E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FE138AE"/>
    <w:multiLevelType w:val="hybridMultilevel"/>
    <w:tmpl w:val="7210662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E346C9F"/>
    <w:multiLevelType w:val="hybridMultilevel"/>
    <w:tmpl w:val="072C95AA"/>
    <w:lvl w:ilvl="0" w:tplc="38CC5C34">
      <w:start w:val="1"/>
      <w:numFmt w:val="decimal"/>
      <w:lvlText w:val="%1."/>
      <w:lvlJc w:val="left"/>
      <w:pPr>
        <w:ind w:left="360" w:hanging="360"/>
      </w:pPr>
      <w:rPr>
        <w:rFonts w:hint="default"/>
        <w:sz w:val="22"/>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9">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65CC0A7C"/>
    <w:multiLevelType w:val="hybridMultilevel"/>
    <w:tmpl w:val="6936D91C"/>
    <w:lvl w:ilvl="0" w:tplc="B150CB8E">
      <w:start w:val="6"/>
      <w:numFmt w:val="upperRoman"/>
      <w:lvlText w:val="%1."/>
      <w:lvlJc w:val="left"/>
      <w:pPr>
        <w:ind w:left="720" w:hanging="72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6A4E7F4A"/>
    <w:multiLevelType w:val="hybridMultilevel"/>
    <w:tmpl w:val="F9EA3132"/>
    <w:lvl w:ilvl="0" w:tplc="CDC8FD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4">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B6118"/>
    <w:multiLevelType w:val="hybridMultilevel"/>
    <w:tmpl w:val="25B63B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9"/>
  </w:num>
  <w:num w:numId="4">
    <w:abstractNumId w:val="11"/>
  </w:num>
  <w:num w:numId="5">
    <w:abstractNumId w:val="26"/>
  </w:num>
  <w:num w:numId="6">
    <w:abstractNumId w:val="12"/>
  </w:num>
  <w:num w:numId="7">
    <w:abstractNumId w:val="24"/>
  </w:num>
  <w:num w:numId="8">
    <w:abstractNumId w:val="14"/>
  </w:num>
  <w:num w:numId="9">
    <w:abstractNumId w:val="10"/>
  </w:num>
  <w:num w:numId="10">
    <w:abstractNumId w:val="23"/>
  </w:num>
  <w:num w:numId="11">
    <w:abstractNumId w:val="18"/>
  </w:num>
  <w:num w:numId="12">
    <w:abstractNumId w:val="20"/>
  </w:num>
  <w:num w:numId="13">
    <w:abstractNumId w:val="15"/>
  </w:num>
  <w:num w:numId="14">
    <w:abstractNumId w:val="5"/>
  </w:num>
  <w:num w:numId="15">
    <w:abstractNumId w:val="6"/>
  </w:num>
  <w:num w:numId="16">
    <w:abstractNumId w:val="4"/>
  </w:num>
  <w:num w:numId="17">
    <w:abstractNumId w:val="9"/>
  </w:num>
  <w:num w:numId="18">
    <w:abstractNumId w:val="16"/>
  </w:num>
  <w:num w:numId="19">
    <w:abstractNumId w:val="8"/>
  </w:num>
  <w:num w:numId="20">
    <w:abstractNumId w:val="3"/>
  </w:num>
  <w:num w:numId="21">
    <w:abstractNumId w:val="7"/>
  </w:num>
  <w:num w:numId="22">
    <w:abstractNumId w:val="0"/>
  </w:num>
  <w:num w:numId="23">
    <w:abstractNumId w:val="25"/>
  </w:num>
  <w:num w:numId="24">
    <w:abstractNumId w:val="22"/>
  </w:num>
  <w:num w:numId="25">
    <w:abstractNumId w:val="21"/>
  </w:num>
  <w:num w:numId="26">
    <w:abstractNumId w:val="1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2F9"/>
    <w:rsid w:val="00026199"/>
    <w:rsid w:val="0002684D"/>
    <w:rsid w:val="00051DBD"/>
    <w:rsid w:val="000538F8"/>
    <w:rsid w:val="000758E8"/>
    <w:rsid w:val="00094E95"/>
    <w:rsid w:val="000C4F36"/>
    <w:rsid w:val="000E54D5"/>
    <w:rsid w:val="000F4071"/>
    <w:rsid w:val="00112650"/>
    <w:rsid w:val="00114ED3"/>
    <w:rsid w:val="001274B7"/>
    <w:rsid w:val="001305C0"/>
    <w:rsid w:val="00133E75"/>
    <w:rsid w:val="00142D5E"/>
    <w:rsid w:val="00155292"/>
    <w:rsid w:val="001560A1"/>
    <w:rsid w:val="00163BBF"/>
    <w:rsid w:val="00194CFE"/>
    <w:rsid w:val="00194D87"/>
    <w:rsid w:val="00196806"/>
    <w:rsid w:val="001B42E8"/>
    <w:rsid w:val="001B6EF2"/>
    <w:rsid w:val="001D585E"/>
    <w:rsid w:val="001D6E94"/>
    <w:rsid w:val="00211220"/>
    <w:rsid w:val="0021504B"/>
    <w:rsid w:val="0022566B"/>
    <w:rsid w:val="0022628C"/>
    <w:rsid w:val="00265C91"/>
    <w:rsid w:val="00283F41"/>
    <w:rsid w:val="002948E5"/>
    <w:rsid w:val="002B106A"/>
    <w:rsid w:val="002F7919"/>
    <w:rsid w:val="00312935"/>
    <w:rsid w:val="00340794"/>
    <w:rsid w:val="0034151E"/>
    <w:rsid w:val="003546F8"/>
    <w:rsid w:val="0035555A"/>
    <w:rsid w:val="00371359"/>
    <w:rsid w:val="003846D3"/>
    <w:rsid w:val="00385BD0"/>
    <w:rsid w:val="0038702C"/>
    <w:rsid w:val="00397F3B"/>
    <w:rsid w:val="003D36DA"/>
    <w:rsid w:val="003D62CE"/>
    <w:rsid w:val="003F1C1E"/>
    <w:rsid w:val="00402CB6"/>
    <w:rsid w:val="00406808"/>
    <w:rsid w:val="004366D0"/>
    <w:rsid w:val="004534AD"/>
    <w:rsid w:val="00473A35"/>
    <w:rsid w:val="004755D3"/>
    <w:rsid w:val="004A69D6"/>
    <w:rsid w:val="004B0AAB"/>
    <w:rsid w:val="004C224A"/>
    <w:rsid w:val="004C73FB"/>
    <w:rsid w:val="005025E9"/>
    <w:rsid w:val="005351E2"/>
    <w:rsid w:val="00546D48"/>
    <w:rsid w:val="00573784"/>
    <w:rsid w:val="00575D84"/>
    <w:rsid w:val="00585BED"/>
    <w:rsid w:val="005A0F99"/>
    <w:rsid w:val="005A4FE3"/>
    <w:rsid w:val="005D2250"/>
    <w:rsid w:val="0060068E"/>
    <w:rsid w:val="00605A55"/>
    <w:rsid w:val="00643F8E"/>
    <w:rsid w:val="006746E7"/>
    <w:rsid w:val="006E20B1"/>
    <w:rsid w:val="006E7A8B"/>
    <w:rsid w:val="007040A4"/>
    <w:rsid w:val="007254B4"/>
    <w:rsid w:val="007268BB"/>
    <w:rsid w:val="00752D72"/>
    <w:rsid w:val="007568D4"/>
    <w:rsid w:val="007771A5"/>
    <w:rsid w:val="007824B5"/>
    <w:rsid w:val="00782770"/>
    <w:rsid w:val="00796D90"/>
    <w:rsid w:val="007C7C8A"/>
    <w:rsid w:val="007D5A9C"/>
    <w:rsid w:val="007E0241"/>
    <w:rsid w:val="007E4DC7"/>
    <w:rsid w:val="007F10EC"/>
    <w:rsid w:val="007F591F"/>
    <w:rsid w:val="00812CE6"/>
    <w:rsid w:val="00827A65"/>
    <w:rsid w:val="008328F1"/>
    <w:rsid w:val="00835513"/>
    <w:rsid w:val="00836F58"/>
    <w:rsid w:val="00846DEB"/>
    <w:rsid w:val="00852A70"/>
    <w:rsid w:val="0088513A"/>
    <w:rsid w:val="00892C1A"/>
    <w:rsid w:val="008D5F71"/>
    <w:rsid w:val="00934B81"/>
    <w:rsid w:val="00964B55"/>
    <w:rsid w:val="00992F9E"/>
    <w:rsid w:val="009A28D2"/>
    <w:rsid w:val="009A6D3D"/>
    <w:rsid w:val="009B6AAE"/>
    <w:rsid w:val="009D37EA"/>
    <w:rsid w:val="00A11153"/>
    <w:rsid w:val="00A208CD"/>
    <w:rsid w:val="00A4060C"/>
    <w:rsid w:val="00A44948"/>
    <w:rsid w:val="00A50DC3"/>
    <w:rsid w:val="00A539E5"/>
    <w:rsid w:val="00A947EF"/>
    <w:rsid w:val="00AA45BE"/>
    <w:rsid w:val="00AA6E56"/>
    <w:rsid w:val="00AC07BB"/>
    <w:rsid w:val="00AD4277"/>
    <w:rsid w:val="00AE55C3"/>
    <w:rsid w:val="00B35DFF"/>
    <w:rsid w:val="00B43601"/>
    <w:rsid w:val="00B648EF"/>
    <w:rsid w:val="00B72BF7"/>
    <w:rsid w:val="00B9066B"/>
    <w:rsid w:val="00BB0BA5"/>
    <w:rsid w:val="00BC5FB0"/>
    <w:rsid w:val="00BD2D4B"/>
    <w:rsid w:val="00BD586B"/>
    <w:rsid w:val="00BE421D"/>
    <w:rsid w:val="00BE7297"/>
    <w:rsid w:val="00C01672"/>
    <w:rsid w:val="00C12A0C"/>
    <w:rsid w:val="00C1480F"/>
    <w:rsid w:val="00C230CB"/>
    <w:rsid w:val="00C618A6"/>
    <w:rsid w:val="00C637D4"/>
    <w:rsid w:val="00CD5D3B"/>
    <w:rsid w:val="00CD6AE6"/>
    <w:rsid w:val="00CD77B9"/>
    <w:rsid w:val="00D12CA6"/>
    <w:rsid w:val="00D30D19"/>
    <w:rsid w:val="00D4328A"/>
    <w:rsid w:val="00D636BE"/>
    <w:rsid w:val="00D66AA4"/>
    <w:rsid w:val="00D7491C"/>
    <w:rsid w:val="00DC559A"/>
    <w:rsid w:val="00DC69FA"/>
    <w:rsid w:val="00E00B8E"/>
    <w:rsid w:val="00E13EB0"/>
    <w:rsid w:val="00E16BD8"/>
    <w:rsid w:val="00E2215E"/>
    <w:rsid w:val="00E4504F"/>
    <w:rsid w:val="00E52153"/>
    <w:rsid w:val="00E53E78"/>
    <w:rsid w:val="00E6266F"/>
    <w:rsid w:val="00E940EB"/>
    <w:rsid w:val="00E96644"/>
    <w:rsid w:val="00E974FA"/>
    <w:rsid w:val="00EE00AB"/>
    <w:rsid w:val="00EE7010"/>
    <w:rsid w:val="00F14BDE"/>
    <w:rsid w:val="00F53C9F"/>
    <w:rsid w:val="00F87783"/>
    <w:rsid w:val="00FF0DA1"/>
    <w:rsid w:val="00FF7F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FE3"/>
  </w:style>
  <w:style w:type="paragraph" w:styleId="Ttulo1">
    <w:name w:val="heading 1"/>
    <w:basedOn w:val="Normal"/>
    <w:next w:val="Normal"/>
    <w:link w:val="Ttulo1Car"/>
    <w:uiPriority w:val="9"/>
    <w:qFormat/>
    <w:rsid w:val="00C230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A4F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305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C230CB"/>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1305C0"/>
    <w:pPr>
      <w:tabs>
        <w:tab w:val="left" w:pos="660"/>
        <w:tab w:val="right" w:leader="dot" w:pos="8828"/>
      </w:tabs>
      <w:spacing w:after="100" w:line="360" w:lineRule="auto"/>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CD5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D3B"/>
    <w:rPr>
      <w:rFonts w:ascii="Segoe UI" w:hAnsi="Segoe UI" w:cs="Segoe UI"/>
      <w:sz w:val="18"/>
      <w:szCs w:val="18"/>
    </w:rPr>
  </w:style>
  <w:style w:type="table" w:styleId="Tablaconcuadrcula">
    <w:name w:val="Table Grid"/>
    <w:basedOn w:val="Tablanormal"/>
    <w:uiPriority w:val="39"/>
    <w:rsid w:val="005A4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5A4FE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5A4FE3"/>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5A4FE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5A4FE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305C0"/>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312935"/>
    <w:pPr>
      <w:tabs>
        <w:tab w:val="left" w:pos="880"/>
        <w:tab w:val="right" w:leader="dot" w:pos="8828"/>
      </w:tabs>
      <w:spacing w:after="100"/>
      <w:ind w:left="220"/>
    </w:pPr>
    <w:rPr>
      <w:rFonts w:ascii="Palatino Linotype" w:hAnsi="Palatino Linotype"/>
      <w:b/>
      <w:noProof/>
      <w:sz w:val="20"/>
    </w:rPr>
  </w:style>
  <w:style w:type="paragraph" w:styleId="TDC3">
    <w:name w:val="toc 3"/>
    <w:basedOn w:val="Normal"/>
    <w:next w:val="Normal"/>
    <w:autoRedefine/>
    <w:uiPriority w:val="39"/>
    <w:unhideWhenUsed/>
    <w:rsid w:val="001305C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9E346-00BD-4F6F-8DD8-3C6D8433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2759</Words>
  <Characters>15175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17899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5</cp:revision>
  <cp:lastPrinted>2018-09-12T19:17:00Z</cp:lastPrinted>
  <dcterms:created xsi:type="dcterms:W3CDTF">2018-09-06T18:23:00Z</dcterms:created>
  <dcterms:modified xsi:type="dcterms:W3CDTF">2018-11-07T21:03:00Z</dcterms:modified>
</cp:coreProperties>
</file>